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2" w:rightFromText="142" w:vertAnchor="page" w:horzAnchor="page" w:tblpX="1135" w:tblpY="568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3320"/>
        <w:gridCol w:w="195"/>
        <w:gridCol w:w="2025"/>
        <w:gridCol w:w="2819"/>
      </w:tblGrid>
      <w:tr w:rsidR="003B4AA7" w:rsidRPr="00E100AB" w:rsidTr="00A007F8">
        <w:trPr>
          <w:trHeight w:hRule="exact" w:val="851"/>
        </w:trPr>
        <w:tc>
          <w:tcPr>
            <w:tcW w:w="4600" w:type="dxa"/>
            <w:gridSpan w:val="2"/>
            <w:tcBorders>
              <w:bottom w:val="single" w:sz="4" w:space="0" w:color="auto"/>
            </w:tcBorders>
            <w:vAlign w:val="bottom"/>
          </w:tcPr>
          <w:p w:rsidR="003B4AA7" w:rsidRPr="00E100AB" w:rsidRDefault="00E100AB" w:rsidP="00A007F8">
            <w:pPr>
              <w:spacing w:after="80" w:line="300" w:lineRule="exact"/>
              <w:rPr>
                <w:sz w:val="28"/>
                <w:lang w:val="uk-UA"/>
              </w:rPr>
            </w:pPr>
            <w:r w:rsidRPr="00E100AB">
              <w:rPr>
                <w:sz w:val="28"/>
                <w:lang w:val="uk-UA"/>
              </w:rPr>
              <w:t>Організація</w:t>
            </w:r>
            <w:r w:rsidR="003B4AA7" w:rsidRPr="00E100AB">
              <w:rPr>
                <w:sz w:val="28"/>
                <w:lang w:val="uk-UA"/>
              </w:rPr>
              <w:t xml:space="preserve"> </w:t>
            </w:r>
            <w:r w:rsidRPr="00E100AB">
              <w:rPr>
                <w:sz w:val="28"/>
                <w:lang w:val="uk-UA"/>
              </w:rPr>
              <w:t>Об</w:t>
            </w:r>
            <w:r>
              <w:rPr>
                <w:sz w:val="28"/>
                <w:lang w:val="uk-UA"/>
              </w:rPr>
              <w:t>’єднаних Наці</w:t>
            </w:r>
            <w:r w:rsidR="003B4AA7" w:rsidRPr="00E100AB">
              <w:rPr>
                <w:sz w:val="28"/>
                <w:lang w:val="uk-UA"/>
              </w:rPr>
              <w:t>й</w:t>
            </w:r>
          </w:p>
        </w:tc>
        <w:tc>
          <w:tcPr>
            <w:tcW w:w="195" w:type="dxa"/>
            <w:tcBorders>
              <w:bottom w:val="single" w:sz="4" w:space="0" w:color="auto"/>
            </w:tcBorders>
            <w:vAlign w:val="bottom"/>
          </w:tcPr>
          <w:p w:rsidR="003B4AA7" w:rsidRPr="00E100AB" w:rsidRDefault="003B4AA7" w:rsidP="00A007F8">
            <w:pPr>
              <w:jc w:val="right"/>
              <w:rPr>
                <w:lang w:val="uk-UA"/>
              </w:rPr>
            </w:pPr>
          </w:p>
        </w:tc>
        <w:tc>
          <w:tcPr>
            <w:tcW w:w="4844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B4AA7" w:rsidRPr="00E100AB" w:rsidRDefault="003B4AA7" w:rsidP="004922E1">
            <w:pPr>
              <w:jc w:val="right"/>
              <w:rPr>
                <w:lang w:val="uk-UA"/>
              </w:rPr>
            </w:pPr>
            <w:proofErr w:type="spellStart"/>
            <w:r w:rsidRPr="00E100AB">
              <w:rPr>
                <w:sz w:val="40"/>
                <w:szCs w:val="40"/>
                <w:lang w:val="uk-UA"/>
              </w:rPr>
              <w:t>CRC</w:t>
            </w:r>
            <w:proofErr w:type="spellEnd"/>
            <w:r w:rsidRPr="00E100AB">
              <w:rPr>
                <w:lang w:val="uk-UA"/>
              </w:rPr>
              <w:t>/</w:t>
            </w:r>
            <w:r w:rsidR="00960BC4" w:rsidRPr="00E100AB">
              <w:rPr>
                <w:lang w:val="uk-UA"/>
              </w:rPr>
              <w:fldChar w:fldCharType="begin"/>
            </w:r>
            <w:r w:rsidR="00960BC4" w:rsidRPr="00E100AB">
              <w:rPr>
                <w:lang w:val="uk-UA"/>
              </w:rPr>
              <w:instrText xml:space="preserve"> FILLIN  "Введите часть символа после CRC/"  \* MERGEFORMAT </w:instrText>
            </w:r>
            <w:r w:rsidR="00960BC4" w:rsidRPr="00E100AB">
              <w:rPr>
                <w:lang w:val="uk-UA"/>
              </w:rPr>
              <w:fldChar w:fldCharType="separate"/>
            </w:r>
            <w:r w:rsidR="00A007F8" w:rsidRPr="00E100AB">
              <w:rPr>
                <w:lang w:val="uk-UA"/>
              </w:rPr>
              <w:t>C/</w:t>
            </w:r>
            <w:proofErr w:type="spellStart"/>
            <w:r w:rsidR="00A007F8" w:rsidRPr="00E100AB">
              <w:rPr>
                <w:lang w:val="uk-UA"/>
              </w:rPr>
              <w:t>GC</w:t>
            </w:r>
            <w:proofErr w:type="spellEnd"/>
            <w:r w:rsidR="00A007F8" w:rsidRPr="00E100AB">
              <w:rPr>
                <w:lang w:val="uk-UA"/>
              </w:rPr>
              <w:t>/20</w:t>
            </w:r>
            <w:r w:rsidR="00960BC4" w:rsidRPr="00E100AB">
              <w:rPr>
                <w:lang w:val="uk-UA"/>
              </w:rPr>
              <w:fldChar w:fldCharType="end"/>
            </w:r>
            <w:r w:rsidR="00A007F8" w:rsidRPr="00E100AB">
              <w:rPr>
                <w:rStyle w:val="FootnoteReference"/>
                <w:sz w:val="20"/>
                <w:vertAlign w:val="baseline"/>
                <w:lang w:val="uk-UA"/>
              </w:rPr>
              <w:t xml:space="preserve"> </w:t>
            </w:r>
          </w:p>
        </w:tc>
      </w:tr>
      <w:tr w:rsidR="003B4AA7" w:rsidRPr="00E100AB" w:rsidTr="00A007F8">
        <w:trPr>
          <w:trHeight w:hRule="exact" w:val="2835"/>
        </w:trPr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</w:tcPr>
          <w:p w:rsidR="003B4AA7" w:rsidRPr="00E100AB" w:rsidRDefault="003B4AA7" w:rsidP="00A007F8">
            <w:pPr>
              <w:spacing w:before="120"/>
              <w:jc w:val="center"/>
              <w:rPr>
                <w:lang w:val="uk-UA"/>
              </w:rPr>
            </w:pPr>
            <w:r w:rsidRPr="00E100AB">
              <w:rPr>
                <w:noProof/>
                <w:lang w:val="uk-UA" w:eastAsia="ru-RU"/>
              </w:rPr>
              <w:drawing>
                <wp:inline distT="0" distB="0" distL="0" distR="0" wp14:anchorId="398E51D2" wp14:editId="23E5C3C7">
                  <wp:extent cx="714375" cy="591820"/>
                  <wp:effectExtent l="0" t="0" r="9525" b="0"/>
                  <wp:docPr id="1" name="Рисунок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B4AA7" w:rsidRPr="00E100AB" w:rsidRDefault="00E100AB" w:rsidP="00A007F8">
            <w:pPr>
              <w:suppressAutoHyphens/>
              <w:spacing w:before="120" w:line="420" w:lineRule="exact"/>
              <w:rPr>
                <w:b/>
                <w:spacing w:val="-4"/>
                <w:w w:val="100"/>
                <w:sz w:val="40"/>
                <w:szCs w:val="40"/>
                <w:lang w:val="uk-UA"/>
              </w:rPr>
            </w:pPr>
            <w:r w:rsidRPr="00E100AB">
              <w:rPr>
                <w:b/>
                <w:spacing w:val="-4"/>
                <w:w w:val="100"/>
                <w:sz w:val="40"/>
                <w:szCs w:val="40"/>
                <w:lang w:val="uk-UA"/>
              </w:rPr>
              <w:t>Конвенція</w:t>
            </w:r>
            <w:r>
              <w:rPr>
                <w:b/>
                <w:spacing w:val="-4"/>
                <w:w w:val="100"/>
                <w:sz w:val="40"/>
                <w:szCs w:val="40"/>
                <w:lang w:val="uk-UA"/>
              </w:rPr>
              <w:br/>
              <w:t xml:space="preserve">про </w:t>
            </w:r>
            <w:r w:rsidR="003B4AA7" w:rsidRPr="00E100AB">
              <w:rPr>
                <w:b/>
                <w:spacing w:val="-4"/>
                <w:w w:val="100"/>
                <w:sz w:val="40"/>
                <w:szCs w:val="40"/>
                <w:lang w:val="uk-UA"/>
              </w:rPr>
              <w:t>права</w:t>
            </w:r>
            <w:r>
              <w:rPr>
                <w:b/>
                <w:spacing w:val="-4"/>
                <w:w w:val="100"/>
                <w:sz w:val="40"/>
                <w:szCs w:val="40"/>
                <w:lang w:val="uk-UA"/>
              </w:rPr>
              <w:t xml:space="preserve"> дитини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12" w:space="0" w:color="auto"/>
            </w:tcBorders>
          </w:tcPr>
          <w:p w:rsidR="003B4AA7" w:rsidRPr="00E100AB" w:rsidRDefault="00E100AB" w:rsidP="00A007F8">
            <w:pPr>
              <w:spacing w:before="240"/>
              <w:rPr>
                <w:lang w:val="uk-UA"/>
              </w:rPr>
            </w:pPr>
            <w:r>
              <w:rPr>
                <w:lang w:val="uk-UA"/>
              </w:rPr>
              <w:t>Поширення</w:t>
            </w:r>
            <w:r w:rsidR="003B4AA7" w:rsidRPr="00E100AB">
              <w:rPr>
                <w:lang w:val="uk-UA"/>
              </w:rPr>
              <w:t xml:space="preserve">: </w:t>
            </w:r>
            <w:r>
              <w:rPr>
                <w:lang w:val="uk-UA"/>
              </w:rPr>
              <w:t>Загальне</w:t>
            </w:r>
          </w:p>
          <w:p w:rsidR="003B4AA7" w:rsidRPr="00E100AB" w:rsidRDefault="003B4AA7" w:rsidP="00A007F8">
            <w:pPr>
              <w:rPr>
                <w:lang w:val="uk-UA"/>
              </w:rPr>
            </w:pPr>
            <w:r w:rsidRPr="00E100AB">
              <w:rPr>
                <w:lang w:val="uk-UA"/>
              </w:rPr>
              <w:fldChar w:fldCharType="begin"/>
            </w:r>
            <w:r w:rsidRPr="00E100AB">
              <w:rPr>
                <w:lang w:val="uk-UA"/>
              </w:rPr>
              <w:instrText xml:space="preserve"> FILLIN  "Введите дату документа" \* MERGEFORMAT </w:instrText>
            </w:r>
            <w:r w:rsidRPr="00E100AB">
              <w:rPr>
                <w:lang w:val="uk-UA"/>
              </w:rPr>
              <w:fldChar w:fldCharType="separate"/>
            </w:r>
            <w:r w:rsidR="00A007F8" w:rsidRPr="00E100AB">
              <w:rPr>
                <w:lang w:val="uk-UA"/>
              </w:rPr>
              <w:t xml:space="preserve">6 </w:t>
            </w:r>
            <w:r w:rsidR="00E100AB">
              <w:rPr>
                <w:lang w:val="uk-UA"/>
              </w:rPr>
              <w:t xml:space="preserve">грудня </w:t>
            </w:r>
            <w:r w:rsidR="00A007F8" w:rsidRPr="00E100AB">
              <w:rPr>
                <w:lang w:val="uk-UA"/>
              </w:rPr>
              <w:t>2016</w:t>
            </w:r>
            <w:r w:rsidRPr="00E100AB">
              <w:rPr>
                <w:lang w:val="uk-UA"/>
              </w:rPr>
              <w:fldChar w:fldCharType="end"/>
            </w:r>
            <w:r w:rsidR="00E100AB">
              <w:rPr>
                <w:lang w:val="uk-UA"/>
              </w:rPr>
              <w:t xml:space="preserve"> р.</w:t>
            </w:r>
          </w:p>
          <w:p w:rsidR="003B4AA7" w:rsidRPr="00E100AB" w:rsidRDefault="00E100AB" w:rsidP="00A007F8">
            <w:pPr>
              <w:rPr>
                <w:lang w:val="uk-UA"/>
              </w:rPr>
            </w:pPr>
            <w:r>
              <w:rPr>
                <w:lang w:val="uk-UA"/>
              </w:rPr>
              <w:t>Українська</w:t>
            </w:r>
          </w:p>
          <w:p w:rsidR="003B4AA7" w:rsidRPr="00E100AB" w:rsidRDefault="00E100AB" w:rsidP="00A007F8">
            <w:pPr>
              <w:rPr>
                <w:lang w:val="uk-UA"/>
              </w:rPr>
            </w:pPr>
            <w:r>
              <w:rPr>
                <w:lang w:val="uk-UA"/>
              </w:rPr>
              <w:t>Мова оригіналу</w:t>
            </w:r>
            <w:r w:rsidR="003B4AA7" w:rsidRPr="00E100AB">
              <w:rPr>
                <w:lang w:val="uk-UA"/>
              </w:rPr>
              <w:t xml:space="preserve">: </w:t>
            </w:r>
            <w:r>
              <w:rPr>
                <w:lang w:val="uk-UA"/>
              </w:rPr>
              <w:t>англійська</w:t>
            </w:r>
          </w:p>
          <w:p w:rsidR="003B4AA7" w:rsidRPr="00E100AB" w:rsidRDefault="003B4AA7" w:rsidP="00A007F8">
            <w:pPr>
              <w:rPr>
                <w:lang w:val="uk-UA"/>
              </w:rPr>
            </w:pPr>
          </w:p>
        </w:tc>
      </w:tr>
    </w:tbl>
    <w:p w:rsidR="003B4AA7" w:rsidRPr="00E100AB" w:rsidRDefault="00E100AB" w:rsidP="00A007F8">
      <w:pPr>
        <w:spacing w:before="120"/>
        <w:rPr>
          <w:sz w:val="24"/>
          <w:szCs w:val="24"/>
          <w:lang w:val="en-US"/>
        </w:rPr>
      </w:pPr>
      <w:r w:rsidRPr="00E100AB">
        <w:rPr>
          <w:b/>
          <w:sz w:val="24"/>
          <w:szCs w:val="24"/>
          <w:lang w:val="uk-UA"/>
        </w:rPr>
        <w:t>Комітет</w:t>
      </w:r>
      <w:r w:rsidR="00A007F8" w:rsidRPr="00E100AB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з прав дитини</w:t>
      </w:r>
    </w:p>
    <w:p w:rsidR="00A007F8" w:rsidRPr="00E100AB" w:rsidRDefault="00A007F8" w:rsidP="00A007F8">
      <w:pPr>
        <w:pStyle w:val="HMGR"/>
        <w:rPr>
          <w:lang w:val="uk-UA"/>
        </w:rPr>
      </w:pPr>
      <w:r w:rsidRPr="00E100AB">
        <w:rPr>
          <w:lang w:val="uk-UA"/>
        </w:rPr>
        <w:tab/>
      </w:r>
      <w:r w:rsidRPr="00E100AB">
        <w:rPr>
          <w:lang w:val="uk-UA"/>
        </w:rPr>
        <w:tab/>
        <w:t>З</w:t>
      </w:r>
      <w:r w:rsidR="007E01CA">
        <w:rPr>
          <w:lang w:val="uk-UA"/>
        </w:rPr>
        <w:t>ауваження загального порядку</w:t>
      </w:r>
      <w:r w:rsidRPr="00E100AB">
        <w:rPr>
          <w:lang w:val="uk-UA"/>
        </w:rPr>
        <w:t xml:space="preserve"> № 20 (2016) </w:t>
      </w:r>
      <w:r w:rsidR="007E01CA">
        <w:rPr>
          <w:lang w:val="uk-UA"/>
        </w:rPr>
        <w:t xml:space="preserve">про реалізацію прав дитини </w:t>
      </w:r>
      <w:r w:rsidR="00202681">
        <w:rPr>
          <w:lang w:val="uk-UA"/>
        </w:rPr>
        <w:t>в підлітковому віці</w:t>
      </w:r>
    </w:p>
    <w:p w:rsidR="00A007F8" w:rsidRPr="00E100AB" w:rsidRDefault="00A007F8">
      <w:pPr>
        <w:spacing w:line="240" w:lineRule="auto"/>
        <w:rPr>
          <w:lang w:val="uk-UA"/>
        </w:rPr>
      </w:pPr>
      <w:r w:rsidRPr="00E100AB">
        <w:rPr>
          <w:lang w:val="uk-UA"/>
        </w:rPr>
        <w:br w:type="page"/>
      </w:r>
    </w:p>
    <w:p w:rsidR="00A007F8" w:rsidRPr="00D230F7" w:rsidRDefault="00D230F7" w:rsidP="00A007F8">
      <w:pPr>
        <w:pStyle w:val="SingleTxtGR"/>
        <w:suppressAutoHyphens/>
        <w:ind w:left="0" w:right="0"/>
        <w:jc w:val="left"/>
        <w:rPr>
          <w:sz w:val="28"/>
          <w:lang w:val="uk-UA"/>
        </w:rPr>
      </w:pPr>
      <w:r>
        <w:rPr>
          <w:sz w:val="28"/>
          <w:lang w:val="uk-UA"/>
        </w:rPr>
        <w:lastRenderedPageBreak/>
        <w:t>Зміст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9638"/>
        </w:tabs>
        <w:suppressAutoHyphens/>
        <w:ind w:left="283" w:right="0"/>
        <w:jc w:val="left"/>
        <w:rPr>
          <w:sz w:val="18"/>
          <w:lang w:val="uk-UA"/>
        </w:rPr>
      </w:pPr>
      <w:r w:rsidRPr="00D230F7">
        <w:rPr>
          <w:i/>
          <w:sz w:val="18"/>
          <w:lang w:val="uk-UA"/>
        </w:rPr>
        <w:tab/>
        <w:t>Ст.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  <w:t>I.</w:t>
      </w:r>
      <w:r w:rsidRPr="00D230F7">
        <w:rPr>
          <w:lang w:val="uk-UA"/>
        </w:rPr>
        <w:tab/>
        <w:t>В</w:t>
      </w:r>
      <w:r w:rsidR="00D230F7">
        <w:rPr>
          <w:lang w:val="uk-UA"/>
        </w:rPr>
        <w:t>ступ</w:t>
      </w:r>
      <w:r w:rsidRPr="00D230F7">
        <w:rPr>
          <w:lang w:val="uk-UA"/>
        </w:rPr>
        <w:tab/>
      </w:r>
      <w:r w:rsidRPr="00D230F7">
        <w:rPr>
          <w:lang w:val="uk-UA"/>
        </w:rPr>
        <w:tab/>
      </w:r>
      <w:r w:rsidR="00D230F7">
        <w:rPr>
          <w:lang w:val="uk-UA"/>
        </w:rPr>
        <w:tab/>
      </w:r>
      <w:r w:rsidR="00F40BEE" w:rsidRPr="00D230F7">
        <w:rPr>
          <w:lang w:val="uk-UA"/>
        </w:rPr>
        <w:t>3</w:t>
      </w:r>
    </w:p>
    <w:p w:rsidR="00A007F8" w:rsidRPr="00D230F7" w:rsidRDefault="00A007F8" w:rsidP="00F058DC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  <w:t>II.</w:t>
      </w:r>
      <w:r w:rsidRPr="00D230F7">
        <w:rPr>
          <w:lang w:val="uk-UA"/>
        </w:rPr>
        <w:tab/>
        <w:t>Ц</w:t>
      </w:r>
      <w:r w:rsidR="00D230F7">
        <w:rPr>
          <w:lang w:val="uk-UA"/>
        </w:rPr>
        <w:t>ілі</w:t>
      </w:r>
      <w:r w:rsidRPr="00D230F7">
        <w:rPr>
          <w:lang w:val="uk-UA"/>
        </w:rPr>
        <w:tab/>
      </w:r>
      <w:r w:rsidRPr="00D230F7">
        <w:rPr>
          <w:lang w:val="uk-UA"/>
        </w:rPr>
        <w:tab/>
      </w:r>
      <w:r w:rsidR="00D230F7">
        <w:rPr>
          <w:lang w:val="uk-UA"/>
        </w:rPr>
        <w:tab/>
      </w:r>
      <w:r w:rsidRPr="00D230F7">
        <w:rPr>
          <w:lang w:val="uk-UA"/>
        </w:rPr>
        <w:t>4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  <w:t>III.</w:t>
      </w:r>
      <w:r w:rsidRPr="00D230F7">
        <w:rPr>
          <w:lang w:val="uk-UA"/>
        </w:rPr>
        <w:tab/>
      </w:r>
      <w:r w:rsidR="00D230F7">
        <w:rPr>
          <w:lang w:val="uk-UA"/>
        </w:rPr>
        <w:t>Аргументи на користь зосередження уваги на підлітках</w:t>
      </w:r>
      <w:r w:rsidRPr="00D230F7">
        <w:rPr>
          <w:lang w:val="uk-UA"/>
        </w:rPr>
        <w:tab/>
      </w:r>
      <w:r w:rsidRPr="00D230F7">
        <w:rPr>
          <w:lang w:val="uk-UA"/>
        </w:rPr>
        <w:tab/>
        <w:t>4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  <w:t>IV</w:t>
      </w:r>
      <w:r w:rsidR="00D230F7">
        <w:rPr>
          <w:lang w:val="uk-UA"/>
        </w:rPr>
        <w:t>.</w:t>
      </w:r>
      <w:r w:rsidR="00D230F7">
        <w:rPr>
          <w:lang w:val="uk-UA"/>
        </w:rPr>
        <w:tab/>
        <w:t>Загальні принципи Конвенції</w:t>
      </w:r>
      <w:r w:rsidRPr="00D230F7">
        <w:rPr>
          <w:lang w:val="uk-UA"/>
        </w:rPr>
        <w:tab/>
      </w:r>
      <w:r w:rsidRPr="00D230F7">
        <w:rPr>
          <w:lang w:val="uk-UA"/>
        </w:rPr>
        <w:tab/>
      </w:r>
      <w:r w:rsidR="00F40BEE" w:rsidRPr="00D230F7">
        <w:rPr>
          <w:lang w:val="uk-UA"/>
        </w:rPr>
        <w:t>6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</w:r>
      <w:r w:rsidRPr="00D230F7">
        <w:rPr>
          <w:lang w:val="uk-UA"/>
        </w:rPr>
        <w:tab/>
        <w:t>A.</w:t>
      </w:r>
      <w:r w:rsidRPr="00D230F7">
        <w:rPr>
          <w:lang w:val="uk-UA"/>
        </w:rPr>
        <w:tab/>
        <w:t>Право на р</w:t>
      </w:r>
      <w:r w:rsidR="00D230F7">
        <w:rPr>
          <w:lang w:val="uk-UA"/>
        </w:rPr>
        <w:t>озвиток</w:t>
      </w:r>
      <w:r w:rsidRPr="00D230F7">
        <w:rPr>
          <w:lang w:val="uk-UA"/>
        </w:rPr>
        <w:tab/>
      </w:r>
      <w:r w:rsidRPr="00D230F7">
        <w:rPr>
          <w:lang w:val="uk-UA"/>
        </w:rPr>
        <w:tab/>
      </w:r>
      <w:r w:rsidR="00F40BEE" w:rsidRPr="00D230F7">
        <w:rPr>
          <w:lang w:val="uk-UA"/>
        </w:rPr>
        <w:t>6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</w:r>
      <w:r w:rsidRPr="00D230F7">
        <w:rPr>
          <w:lang w:val="uk-UA"/>
        </w:rPr>
        <w:tab/>
        <w:t>B</w:t>
      </w:r>
      <w:r w:rsidR="00D230F7">
        <w:rPr>
          <w:lang w:val="uk-UA"/>
        </w:rPr>
        <w:t>.</w:t>
      </w:r>
      <w:r w:rsidR="00D230F7">
        <w:rPr>
          <w:lang w:val="uk-UA"/>
        </w:rPr>
        <w:tab/>
        <w:t>Недискримінаці</w:t>
      </w:r>
      <w:r w:rsidRPr="00D230F7">
        <w:rPr>
          <w:lang w:val="uk-UA"/>
        </w:rPr>
        <w:t>я</w:t>
      </w:r>
      <w:r w:rsidRPr="00D230F7">
        <w:rPr>
          <w:lang w:val="uk-UA"/>
        </w:rPr>
        <w:tab/>
      </w:r>
      <w:r w:rsidRPr="00D230F7">
        <w:rPr>
          <w:lang w:val="uk-UA"/>
        </w:rPr>
        <w:tab/>
      </w:r>
      <w:r w:rsidR="00F40BEE" w:rsidRPr="00D230F7">
        <w:rPr>
          <w:lang w:val="uk-UA"/>
        </w:rPr>
        <w:t>8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</w:r>
      <w:r w:rsidRPr="00D230F7">
        <w:rPr>
          <w:lang w:val="uk-UA"/>
        </w:rPr>
        <w:tab/>
        <w:t>C.</w:t>
      </w:r>
      <w:r w:rsidRPr="00D230F7">
        <w:rPr>
          <w:lang w:val="uk-UA"/>
        </w:rPr>
        <w:tab/>
        <w:t>На</w:t>
      </w:r>
      <w:r w:rsidR="00D230F7">
        <w:rPr>
          <w:lang w:val="uk-UA"/>
        </w:rPr>
        <w:t>йкращі інтереси дитини</w:t>
      </w:r>
      <w:r w:rsidR="00F40BEE" w:rsidRPr="00D230F7">
        <w:rPr>
          <w:lang w:val="uk-UA"/>
        </w:rPr>
        <w:tab/>
      </w:r>
      <w:r w:rsidR="00F40BEE" w:rsidRPr="00D230F7">
        <w:rPr>
          <w:lang w:val="uk-UA"/>
        </w:rPr>
        <w:tab/>
        <w:t>8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</w:r>
      <w:r w:rsidRPr="00D230F7">
        <w:rPr>
          <w:lang w:val="uk-UA"/>
        </w:rPr>
        <w:tab/>
        <w:t>D.</w:t>
      </w:r>
      <w:r w:rsidRPr="00D230F7">
        <w:rPr>
          <w:lang w:val="uk-UA"/>
        </w:rPr>
        <w:tab/>
        <w:t>Право б</w:t>
      </w:r>
      <w:r w:rsidR="003A4962">
        <w:rPr>
          <w:lang w:val="uk-UA"/>
        </w:rPr>
        <w:t>ути заслуханим</w:t>
      </w:r>
      <w:r w:rsidR="00D230F7">
        <w:rPr>
          <w:lang w:val="uk-UA"/>
        </w:rPr>
        <w:t xml:space="preserve"> та право на участь</w:t>
      </w:r>
      <w:r w:rsidRPr="00D230F7">
        <w:rPr>
          <w:lang w:val="uk-UA"/>
        </w:rPr>
        <w:tab/>
      </w:r>
      <w:r w:rsidRPr="00D230F7">
        <w:rPr>
          <w:lang w:val="uk-UA"/>
        </w:rPr>
        <w:tab/>
      </w:r>
      <w:r w:rsidR="00F40BEE" w:rsidRPr="00D230F7">
        <w:rPr>
          <w:lang w:val="uk-UA"/>
        </w:rPr>
        <w:t>9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  <w:t>V.</w:t>
      </w:r>
      <w:r w:rsidRPr="00D230F7">
        <w:rPr>
          <w:lang w:val="uk-UA"/>
        </w:rPr>
        <w:tab/>
        <w:t>П</w:t>
      </w:r>
      <w:r w:rsidR="00D230F7">
        <w:rPr>
          <w:lang w:val="uk-UA"/>
        </w:rPr>
        <w:t>ідлітки, які потребують особливої уваги</w:t>
      </w:r>
      <w:r w:rsidRPr="00D230F7">
        <w:rPr>
          <w:lang w:val="uk-UA"/>
        </w:rPr>
        <w:tab/>
      </w:r>
      <w:r w:rsidRPr="00D230F7">
        <w:rPr>
          <w:lang w:val="uk-UA"/>
        </w:rPr>
        <w:tab/>
      </w:r>
      <w:r w:rsidR="00F40BEE" w:rsidRPr="00D230F7">
        <w:rPr>
          <w:lang w:val="uk-UA"/>
        </w:rPr>
        <w:t>10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  <w:t>VI</w:t>
      </w:r>
      <w:r w:rsidR="00D230F7">
        <w:rPr>
          <w:lang w:val="uk-UA"/>
        </w:rPr>
        <w:t>.</w:t>
      </w:r>
      <w:r w:rsidR="00D230F7">
        <w:rPr>
          <w:lang w:val="uk-UA"/>
        </w:rPr>
        <w:tab/>
        <w:t>Загальні заходи з впровадження</w:t>
      </w:r>
      <w:r w:rsidRPr="00D230F7">
        <w:rPr>
          <w:lang w:val="uk-UA"/>
        </w:rPr>
        <w:tab/>
      </w:r>
      <w:r w:rsidRPr="00D230F7">
        <w:rPr>
          <w:lang w:val="uk-UA"/>
        </w:rPr>
        <w:tab/>
        <w:t>1</w:t>
      </w:r>
      <w:r w:rsidR="00F40BEE" w:rsidRPr="00D230F7">
        <w:rPr>
          <w:lang w:val="uk-UA"/>
        </w:rPr>
        <w:t>2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  <w:t>VII</w:t>
      </w:r>
      <w:r w:rsidR="00D230F7">
        <w:rPr>
          <w:lang w:val="uk-UA"/>
        </w:rPr>
        <w:t>.</w:t>
      </w:r>
      <w:r w:rsidR="00D230F7">
        <w:rPr>
          <w:lang w:val="uk-UA"/>
        </w:rPr>
        <w:tab/>
        <w:t>Визначення поняття «дитина»</w:t>
      </w:r>
      <w:r w:rsidRPr="00D230F7">
        <w:rPr>
          <w:lang w:val="uk-UA"/>
        </w:rPr>
        <w:tab/>
      </w:r>
      <w:r w:rsidRPr="00D230F7">
        <w:rPr>
          <w:lang w:val="uk-UA"/>
        </w:rPr>
        <w:tab/>
        <w:t>1</w:t>
      </w:r>
      <w:r w:rsidR="00F40BEE" w:rsidRPr="00D230F7">
        <w:rPr>
          <w:lang w:val="uk-UA"/>
        </w:rPr>
        <w:t>3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  <w:t>VIII.</w:t>
      </w:r>
      <w:r w:rsidRPr="00D230F7">
        <w:rPr>
          <w:lang w:val="uk-UA"/>
        </w:rPr>
        <w:tab/>
        <w:t>Гр</w:t>
      </w:r>
      <w:r w:rsidR="00D230F7">
        <w:rPr>
          <w:lang w:val="uk-UA"/>
        </w:rPr>
        <w:t>омадянські права та свободи</w:t>
      </w:r>
      <w:r w:rsidRPr="00D230F7">
        <w:rPr>
          <w:lang w:val="uk-UA"/>
        </w:rPr>
        <w:tab/>
      </w:r>
      <w:r w:rsidRPr="00D230F7">
        <w:rPr>
          <w:lang w:val="uk-UA"/>
        </w:rPr>
        <w:tab/>
        <w:t>1</w:t>
      </w:r>
      <w:r w:rsidR="00F40BEE" w:rsidRPr="00D230F7">
        <w:rPr>
          <w:lang w:val="uk-UA"/>
        </w:rPr>
        <w:t>4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</w:r>
      <w:proofErr w:type="spellStart"/>
      <w:r w:rsidRPr="00D230F7">
        <w:rPr>
          <w:lang w:val="uk-UA"/>
        </w:rPr>
        <w:t>IХ</w:t>
      </w:r>
      <w:proofErr w:type="spellEnd"/>
      <w:r w:rsidRPr="00D230F7">
        <w:rPr>
          <w:lang w:val="uk-UA"/>
        </w:rPr>
        <w:t>.</w:t>
      </w:r>
      <w:r w:rsidRPr="00D230F7">
        <w:rPr>
          <w:lang w:val="uk-UA"/>
        </w:rPr>
        <w:tab/>
        <w:t>Насил</w:t>
      </w:r>
      <w:r w:rsidR="00D230F7">
        <w:rPr>
          <w:lang w:val="uk-UA"/>
        </w:rPr>
        <w:t>ьство щодо дітей</w:t>
      </w:r>
      <w:r w:rsidRPr="00D230F7">
        <w:rPr>
          <w:lang w:val="uk-UA"/>
        </w:rPr>
        <w:tab/>
      </w:r>
      <w:r w:rsidRPr="00D230F7">
        <w:rPr>
          <w:lang w:val="uk-UA"/>
        </w:rPr>
        <w:tab/>
        <w:t>1</w:t>
      </w:r>
      <w:r w:rsidR="00F40BEE" w:rsidRPr="00D230F7">
        <w:rPr>
          <w:lang w:val="uk-UA"/>
        </w:rPr>
        <w:t>7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  <w:t>X</w:t>
      </w:r>
      <w:r w:rsidR="00D230F7">
        <w:rPr>
          <w:lang w:val="uk-UA"/>
        </w:rPr>
        <w:t>.</w:t>
      </w:r>
      <w:r w:rsidR="00D230F7">
        <w:rPr>
          <w:lang w:val="uk-UA"/>
        </w:rPr>
        <w:tab/>
        <w:t>Сімейне оточення та альтернативний догляд</w:t>
      </w:r>
      <w:r w:rsidRPr="00D230F7">
        <w:rPr>
          <w:lang w:val="uk-UA"/>
        </w:rPr>
        <w:tab/>
      </w:r>
      <w:r w:rsidRPr="00D230F7">
        <w:rPr>
          <w:lang w:val="uk-UA"/>
        </w:rPr>
        <w:tab/>
        <w:t>1</w:t>
      </w:r>
      <w:r w:rsidR="00F40BEE" w:rsidRPr="00D230F7">
        <w:rPr>
          <w:lang w:val="uk-UA"/>
        </w:rPr>
        <w:t>7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  <w:t>XI.</w:t>
      </w:r>
      <w:r w:rsidRPr="00D230F7">
        <w:rPr>
          <w:lang w:val="uk-UA"/>
        </w:rPr>
        <w:tab/>
        <w:t>Базов</w:t>
      </w:r>
      <w:r w:rsidR="00D230F7">
        <w:rPr>
          <w:lang w:val="uk-UA"/>
        </w:rPr>
        <w:t>і медичні послуги та соціальне забезпечення</w:t>
      </w:r>
      <w:r w:rsidRPr="00D230F7">
        <w:rPr>
          <w:lang w:val="uk-UA"/>
        </w:rPr>
        <w:tab/>
      </w:r>
      <w:r w:rsidRPr="00D230F7">
        <w:rPr>
          <w:lang w:val="uk-UA"/>
        </w:rPr>
        <w:tab/>
        <w:t>1</w:t>
      </w:r>
      <w:r w:rsidR="00F40BEE" w:rsidRPr="00D230F7">
        <w:rPr>
          <w:lang w:val="uk-UA"/>
        </w:rPr>
        <w:t>9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  <w:t>XII</w:t>
      </w:r>
      <w:r w:rsidR="00D230F7">
        <w:rPr>
          <w:lang w:val="uk-UA"/>
        </w:rPr>
        <w:t>.</w:t>
      </w:r>
      <w:r w:rsidR="00D230F7">
        <w:rPr>
          <w:lang w:val="uk-UA"/>
        </w:rPr>
        <w:tab/>
        <w:t>Освіта, дозвілля та культурна діяльність</w:t>
      </w:r>
      <w:r w:rsidRPr="00D230F7">
        <w:rPr>
          <w:lang w:val="uk-UA"/>
        </w:rPr>
        <w:tab/>
      </w:r>
      <w:r w:rsidRPr="00D230F7">
        <w:rPr>
          <w:lang w:val="uk-UA"/>
        </w:rPr>
        <w:tab/>
      </w:r>
      <w:r w:rsidR="00F40BEE" w:rsidRPr="00D230F7">
        <w:rPr>
          <w:lang w:val="uk-UA"/>
        </w:rPr>
        <w:t>23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</w:r>
      <w:proofErr w:type="spellStart"/>
      <w:r w:rsidRPr="00D230F7">
        <w:rPr>
          <w:lang w:val="uk-UA"/>
        </w:rPr>
        <w:t>ХIII</w:t>
      </w:r>
      <w:proofErr w:type="spellEnd"/>
      <w:r w:rsidRPr="00D230F7">
        <w:rPr>
          <w:lang w:val="uk-UA"/>
        </w:rPr>
        <w:t>.</w:t>
      </w:r>
      <w:r w:rsidRPr="00D230F7">
        <w:rPr>
          <w:lang w:val="uk-UA"/>
        </w:rPr>
        <w:tab/>
      </w:r>
      <w:r w:rsidR="00F40BEE" w:rsidRPr="00D230F7">
        <w:rPr>
          <w:lang w:val="uk-UA"/>
        </w:rPr>
        <w:t>Особ</w:t>
      </w:r>
      <w:r w:rsidR="00D230F7">
        <w:rPr>
          <w:lang w:val="uk-UA"/>
        </w:rPr>
        <w:t>ливі заходи із захисту</w:t>
      </w:r>
      <w:r w:rsidRPr="00D230F7">
        <w:rPr>
          <w:lang w:val="uk-UA"/>
        </w:rPr>
        <w:tab/>
      </w:r>
      <w:r w:rsidRPr="00D230F7">
        <w:rPr>
          <w:lang w:val="uk-UA"/>
        </w:rPr>
        <w:tab/>
        <w:t>2</w:t>
      </w:r>
      <w:r w:rsidR="00F40BEE" w:rsidRPr="00D230F7">
        <w:rPr>
          <w:lang w:val="uk-UA"/>
        </w:rPr>
        <w:t>6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  <w:t>XIV.</w:t>
      </w:r>
      <w:r w:rsidRPr="00D230F7">
        <w:rPr>
          <w:lang w:val="uk-UA"/>
        </w:rPr>
        <w:tab/>
        <w:t>М</w:t>
      </w:r>
      <w:r w:rsidR="00D230F7">
        <w:rPr>
          <w:lang w:val="uk-UA"/>
        </w:rPr>
        <w:t>іжнародне співробітництво</w:t>
      </w:r>
      <w:r w:rsidRPr="00D230F7">
        <w:rPr>
          <w:lang w:val="uk-UA"/>
        </w:rPr>
        <w:tab/>
      </w:r>
      <w:r w:rsidRPr="00D230F7">
        <w:rPr>
          <w:lang w:val="uk-UA"/>
        </w:rPr>
        <w:tab/>
      </w:r>
      <w:r w:rsidR="00F40BEE" w:rsidRPr="00D230F7">
        <w:rPr>
          <w:lang w:val="uk-UA"/>
        </w:rPr>
        <w:t>30</w:t>
      </w:r>
    </w:p>
    <w:p w:rsidR="00A007F8" w:rsidRPr="00D230F7" w:rsidRDefault="00A007F8" w:rsidP="00A007F8">
      <w:pPr>
        <w:pStyle w:val="SingleTxtGR"/>
        <w:tabs>
          <w:tab w:val="clear" w:pos="1701"/>
          <w:tab w:val="clear" w:pos="2268"/>
          <w:tab w:val="clear" w:pos="2835"/>
          <w:tab w:val="clear" w:pos="3402"/>
          <w:tab w:val="clear" w:pos="3969"/>
          <w:tab w:val="right" w:pos="850"/>
          <w:tab w:val="left" w:pos="1134"/>
          <w:tab w:val="left" w:pos="1559"/>
          <w:tab w:val="left" w:pos="1984"/>
          <w:tab w:val="left" w:leader="dot" w:pos="8787"/>
          <w:tab w:val="right" w:pos="9638"/>
        </w:tabs>
        <w:suppressAutoHyphens/>
        <w:ind w:left="0" w:right="0"/>
        <w:jc w:val="left"/>
        <w:rPr>
          <w:lang w:val="uk-UA"/>
        </w:rPr>
      </w:pPr>
      <w:r w:rsidRPr="00D230F7">
        <w:rPr>
          <w:lang w:val="uk-UA"/>
        </w:rPr>
        <w:tab/>
        <w:t>XV.</w:t>
      </w:r>
      <w:r w:rsidR="00D230F7">
        <w:rPr>
          <w:lang w:val="uk-UA"/>
        </w:rPr>
        <w:tab/>
        <w:t>Поширення</w:t>
      </w:r>
      <w:r w:rsidRPr="00D230F7">
        <w:rPr>
          <w:lang w:val="uk-UA"/>
        </w:rPr>
        <w:tab/>
      </w:r>
      <w:r w:rsidRPr="00D230F7">
        <w:rPr>
          <w:lang w:val="uk-UA"/>
        </w:rPr>
        <w:tab/>
      </w:r>
      <w:r w:rsidR="00F40BEE" w:rsidRPr="00D230F7">
        <w:rPr>
          <w:lang w:val="uk-UA"/>
        </w:rPr>
        <w:t>30</w:t>
      </w:r>
    </w:p>
    <w:p w:rsidR="00A007F8" w:rsidRPr="00D230F7" w:rsidRDefault="00A007F8">
      <w:pPr>
        <w:spacing w:line="240" w:lineRule="auto"/>
        <w:rPr>
          <w:lang w:val="uk-UA"/>
        </w:rPr>
      </w:pPr>
      <w:r w:rsidRPr="00D230F7">
        <w:rPr>
          <w:lang w:val="uk-UA"/>
        </w:rPr>
        <w:br w:type="page"/>
      </w:r>
    </w:p>
    <w:p w:rsidR="00A007F8" w:rsidRPr="00056BDC" w:rsidRDefault="00A007F8" w:rsidP="00650A8C">
      <w:pPr>
        <w:pStyle w:val="HChGR"/>
        <w:pageBreakBefore/>
        <w:spacing w:before="240"/>
        <w:rPr>
          <w:lang w:val="uk-UA"/>
        </w:rPr>
      </w:pPr>
      <w:r>
        <w:lastRenderedPageBreak/>
        <w:tab/>
      </w:r>
      <w:r w:rsidR="00056BDC">
        <w:rPr>
          <w:lang w:val="uk-UA"/>
        </w:rPr>
        <w:t>I.</w:t>
      </w:r>
      <w:r w:rsidR="00056BDC">
        <w:rPr>
          <w:lang w:val="uk-UA"/>
        </w:rPr>
        <w:tab/>
        <w:t>Вступ</w:t>
      </w:r>
      <w:bookmarkStart w:id="0" w:name="_Toc468797232"/>
      <w:bookmarkEnd w:id="0"/>
    </w:p>
    <w:p w:rsidR="00A007F8" w:rsidRPr="00056BDC" w:rsidRDefault="00A007F8" w:rsidP="004E300D">
      <w:pPr>
        <w:pStyle w:val="SingleTxtGR"/>
        <w:spacing w:line="238" w:lineRule="atLeast"/>
        <w:rPr>
          <w:lang w:val="uk-UA"/>
        </w:rPr>
      </w:pPr>
      <w:r w:rsidRPr="00056BDC">
        <w:rPr>
          <w:lang w:val="uk-UA"/>
        </w:rPr>
        <w:t>1.</w:t>
      </w:r>
      <w:r w:rsidRPr="00056BDC">
        <w:rPr>
          <w:lang w:val="uk-UA"/>
        </w:rPr>
        <w:tab/>
        <w:t>Конвенц</w:t>
      </w:r>
      <w:r w:rsidR="00056BDC">
        <w:rPr>
          <w:lang w:val="uk-UA"/>
        </w:rPr>
        <w:t>ія про права дитини визначає дитину як кожну людську істоту до досягнення 18-річного віку, якщо за законом, застосовуваним до даної особи, вона не досягає повноліття раніше</w:t>
      </w:r>
      <w:r w:rsidRPr="00056BDC">
        <w:rPr>
          <w:lang w:val="uk-UA"/>
        </w:rPr>
        <w:t xml:space="preserve">, </w:t>
      </w:r>
      <w:r w:rsidR="00056BDC">
        <w:rPr>
          <w:lang w:val="uk-UA"/>
        </w:rPr>
        <w:t>та наголошує, що держави повинні поважати та забезпечувати всі права, передбачені Конвенцією, за кожною дитиною, яка перебуває в межах їх юрисдикції, без будь-якої дискримінації</w:t>
      </w:r>
      <w:r w:rsidRPr="00056BDC">
        <w:rPr>
          <w:lang w:val="uk-UA"/>
        </w:rPr>
        <w:t xml:space="preserve">. </w:t>
      </w:r>
      <w:r w:rsidR="00C473D7">
        <w:rPr>
          <w:lang w:val="uk-UA"/>
        </w:rPr>
        <w:t xml:space="preserve">Хоча </w:t>
      </w:r>
      <w:r w:rsidR="00C473D7" w:rsidRPr="00C473D7">
        <w:rPr>
          <w:lang w:val="uk-UA"/>
        </w:rPr>
        <w:t>Конвенці</w:t>
      </w:r>
      <w:r w:rsidR="00C473D7">
        <w:rPr>
          <w:lang w:val="uk-UA"/>
        </w:rPr>
        <w:t xml:space="preserve">я і </w:t>
      </w:r>
      <w:r w:rsidR="00C473D7" w:rsidRPr="00C473D7">
        <w:rPr>
          <w:lang w:val="uk-UA"/>
        </w:rPr>
        <w:t>визна</w:t>
      </w:r>
      <w:r w:rsidR="00C473D7">
        <w:rPr>
          <w:lang w:val="uk-UA"/>
        </w:rPr>
        <w:t xml:space="preserve">є </w:t>
      </w:r>
      <w:r w:rsidR="00C473D7" w:rsidRPr="00C473D7">
        <w:rPr>
          <w:lang w:val="uk-UA"/>
        </w:rPr>
        <w:t xml:space="preserve">права всіх осіб віком до 18 років, при здійсненні прав необхідно враховувати розвиток дітей і їх здібності, що розвиваються. Підходи, обрані </w:t>
      </w:r>
      <w:r w:rsidR="00C473D7">
        <w:rPr>
          <w:lang w:val="uk-UA"/>
        </w:rPr>
        <w:t xml:space="preserve">для </w:t>
      </w:r>
      <w:r w:rsidR="00C473D7" w:rsidRPr="00C473D7">
        <w:rPr>
          <w:lang w:val="uk-UA"/>
        </w:rPr>
        <w:t xml:space="preserve">забезпечення здійснення прав підлітків, істотно відрізняються від тих, </w:t>
      </w:r>
      <w:r w:rsidR="00C473D7">
        <w:rPr>
          <w:lang w:val="uk-UA"/>
        </w:rPr>
        <w:t xml:space="preserve">що </w:t>
      </w:r>
      <w:r w:rsidR="00C473D7" w:rsidRPr="00C473D7">
        <w:rPr>
          <w:lang w:val="uk-UA"/>
        </w:rPr>
        <w:t xml:space="preserve">були прийняті </w:t>
      </w:r>
      <w:r w:rsidR="00C473D7">
        <w:rPr>
          <w:lang w:val="uk-UA"/>
        </w:rPr>
        <w:t xml:space="preserve">стосовно </w:t>
      </w:r>
      <w:r w:rsidR="00C473D7" w:rsidRPr="00C473D7">
        <w:rPr>
          <w:lang w:val="uk-UA"/>
        </w:rPr>
        <w:t>дітей молодшого віку</w:t>
      </w:r>
      <w:r w:rsidRPr="00056BDC">
        <w:rPr>
          <w:lang w:val="uk-UA"/>
        </w:rPr>
        <w:t>.</w:t>
      </w:r>
    </w:p>
    <w:p w:rsidR="00A007F8" w:rsidRPr="00056BDC" w:rsidRDefault="00A007F8" w:rsidP="004E300D">
      <w:pPr>
        <w:pStyle w:val="SingleTxtGR"/>
        <w:spacing w:line="238" w:lineRule="atLeast"/>
        <w:rPr>
          <w:lang w:val="uk-UA"/>
        </w:rPr>
      </w:pPr>
      <w:r w:rsidRPr="00056BDC">
        <w:rPr>
          <w:lang w:val="uk-UA"/>
        </w:rPr>
        <w:t>2.</w:t>
      </w:r>
      <w:r w:rsidRPr="00056BDC">
        <w:rPr>
          <w:lang w:val="uk-UA"/>
        </w:rPr>
        <w:tab/>
      </w:r>
      <w:r w:rsidR="00CB0578" w:rsidRPr="00CB0578">
        <w:rPr>
          <w:lang w:val="uk-UA"/>
        </w:rPr>
        <w:t xml:space="preserve">Підлітковий вік </w:t>
      </w:r>
      <w:r w:rsidR="00CB0578">
        <w:rPr>
          <w:lang w:val="uk-UA"/>
        </w:rPr>
        <w:t xml:space="preserve">– це </w:t>
      </w:r>
      <w:r w:rsidR="00CB0578" w:rsidRPr="00CB0578">
        <w:rPr>
          <w:lang w:val="uk-UA"/>
        </w:rPr>
        <w:t xml:space="preserve">етап життя, </w:t>
      </w:r>
      <w:r w:rsidR="00CB0578">
        <w:rPr>
          <w:lang w:val="uk-UA"/>
        </w:rPr>
        <w:t xml:space="preserve">що </w:t>
      </w:r>
      <w:r w:rsidR="00CB0578" w:rsidRPr="00CB0578">
        <w:rPr>
          <w:lang w:val="uk-UA"/>
        </w:rPr>
        <w:t>характеризується зростаючими можливостями, здібностями, прагненнями, енергією і творчістю, а</w:t>
      </w:r>
      <w:r w:rsidR="00CB0578">
        <w:rPr>
          <w:lang w:val="uk-UA"/>
        </w:rPr>
        <w:t>ле</w:t>
      </w:r>
      <w:r w:rsidR="00CB0578" w:rsidRPr="00CB0578">
        <w:rPr>
          <w:lang w:val="uk-UA"/>
        </w:rPr>
        <w:t xml:space="preserve"> </w:t>
      </w:r>
      <w:r w:rsidR="00CB0578">
        <w:rPr>
          <w:lang w:val="uk-UA"/>
        </w:rPr>
        <w:t xml:space="preserve">і </w:t>
      </w:r>
      <w:r w:rsidR="00CB0578" w:rsidRPr="00CB0578">
        <w:rPr>
          <w:lang w:val="uk-UA"/>
        </w:rPr>
        <w:t>значною вразливістю. Підлітки є руші</w:t>
      </w:r>
      <w:r w:rsidR="00CB0578">
        <w:rPr>
          <w:lang w:val="uk-UA"/>
        </w:rPr>
        <w:t xml:space="preserve">ями </w:t>
      </w:r>
      <w:r w:rsidR="00CB0578" w:rsidRPr="00CB0578">
        <w:rPr>
          <w:lang w:val="uk-UA"/>
        </w:rPr>
        <w:t xml:space="preserve">змін і одним з ключових </w:t>
      </w:r>
      <w:r w:rsidR="00CB0578">
        <w:rPr>
          <w:lang w:val="uk-UA"/>
        </w:rPr>
        <w:t xml:space="preserve">чинників </w:t>
      </w:r>
      <w:r w:rsidR="00CB0578" w:rsidRPr="00CB0578">
        <w:rPr>
          <w:lang w:val="uk-UA"/>
        </w:rPr>
        <w:t xml:space="preserve">і ресурсів, здатних </w:t>
      </w:r>
      <w:r w:rsidR="00CB0578">
        <w:rPr>
          <w:lang w:val="uk-UA"/>
        </w:rPr>
        <w:t>позитивно вплинути на власні сім’</w:t>
      </w:r>
      <w:r w:rsidR="00CB0578" w:rsidRPr="00CB0578">
        <w:rPr>
          <w:lang w:val="uk-UA"/>
        </w:rPr>
        <w:t xml:space="preserve">ї, громади та країни. У глобальному масштабі підлітки </w:t>
      </w:r>
      <w:r w:rsidR="00CB0578">
        <w:rPr>
          <w:lang w:val="uk-UA"/>
        </w:rPr>
        <w:t>у конструктивний спосіб долучаються до багатьох сфер</w:t>
      </w:r>
      <w:r w:rsidR="00CB0578" w:rsidRPr="00CB0578">
        <w:rPr>
          <w:lang w:val="uk-UA"/>
        </w:rPr>
        <w:t xml:space="preserve">, </w:t>
      </w:r>
      <w:r w:rsidR="00CB0578">
        <w:rPr>
          <w:lang w:val="uk-UA"/>
        </w:rPr>
        <w:t xml:space="preserve">зокрема до проведення </w:t>
      </w:r>
      <w:r w:rsidR="00CB0578" w:rsidRPr="00CB0578">
        <w:rPr>
          <w:lang w:val="uk-UA"/>
        </w:rPr>
        <w:t xml:space="preserve">медичних і освітніх кампаній, підтримки </w:t>
      </w:r>
      <w:r w:rsidR="00CB0578">
        <w:rPr>
          <w:lang w:val="uk-UA"/>
        </w:rPr>
        <w:t>родин</w:t>
      </w:r>
      <w:r w:rsidR="00CB0578" w:rsidRPr="00CB0578">
        <w:rPr>
          <w:lang w:val="uk-UA"/>
        </w:rPr>
        <w:t>, навчання</w:t>
      </w:r>
      <w:r w:rsidR="00CB0578">
        <w:rPr>
          <w:lang w:val="uk-UA"/>
        </w:rPr>
        <w:t xml:space="preserve"> за принципом «рівний-рівному»</w:t>
      </w:r>
      <w:r w:rsidR="00CB0578" w:rsidRPr="00CB0578">
        <w:rPr>
          <w:lang w:val="uk-UA"/>
        </w:rPr>
        <w:t xml:space="preserve">, ініціатив </w:t>
      </w:r>
      <w:r w:rsidR="00CB0578">
        <w:rPr>
          <w:lang w:val="uk-UA"/>
        </w:rPr>
        <w:t>з розвитку громад, складання</w:t>
      </w:r>
      <w:r w:rsidR="00CB0578" w:rsidRPr="00CB0578">
        <w:rPr>
          <w:lang w:val="uk-UA"/>
        </w:rPr>
        <w:t xml:space="preserve"> бюджетів за участ</w:t>
      </w:r>
      <w:r w:rsidR="00CB0578">
        <w:rPr>
          <w:lang w:val="uk-UA"/>
        </w:rPr>
        <w:t>ю громадськості та різних форм</w:t>
      </w:r>
      <w:r w:rsidR="00CB0578" w:rsidRPr="00CB0578">
        <w:rPr>
          <w:lang w:val="uk-UA"/>
        </w:rPr>
        <w:t xml:space="preserve"> мистецтва і творчості, </w:t>
      </w:r>
      <w:r w:rsidR="00CB0578">
        <w:rPr>
          <w:lang w:val="uk-UA"/>
        </w:rPr>
        <w:t>а також роблять внесок у забезпечення миру</w:t>
      </w:r>
      <w:r w:rsidR="00CB0578" w:rsidRPr="00CB0578">
        <w:rPr>
          <w:lang w:val="uk-UA"/>
        </w:rPr>
        <w:t xml:space="preserve">, прав людини, екологічної </w:t>
      </w:r>
      <w:r w:rsidR="00CB0578">
        <w:rPr>
          <w:lang w:val="uk-UA"/>
        </w:rPr>
        <w:t>сталості й</w:t>
      </w:r>
      <w:r w:rsidR="00CB0578" w:rsidRPr="00CB0578">
        <w:rPr>
          <w:lang w:val="uk-UA"/>
        </w:rPr>
        <w:t xml:space="preserve"> справедливого вирішення проблем</w:t>
      </w:r>
      <w:r w:rsidR="00CB0578">
        <w:rPr>
          <w:lang w:val="uk-UA"/>
        </w:rPr>
        <w:t xml:space="preserve"> </w:t>
      </w:r>
      <w:r w:rsidR="00CB0578" w:rsidRPr="00CB0578">
        <w:rPr>
          <w:lang w:val="uk-UA"/>
        </w:rPr>
        <w:t xml:space="preserve">клімату. </w:t>
      </w:r>
      <w:r w:rsidR="00CB0578">
        <w:rPr>
          <w:lang w:val="uk-UA"/>
        </w:rPr>
        <w:t xml:space="preserve">Чимало </w:t>
      </w:r>
      <w:r w:rsidR="00CB0578" w:rsidRPr="00CB0578">
        <w:rPr>
          <w:lang w:val="uk-UA"/>
        </w:rPr>
        <w:t xml:space="preserve">підлітків знаходяться на передових позиціях цифрових і </w:t>
      </w:r>
      <w:r w:rsidR="00CB0578">
        <w:rPr>
          <w:lang w:val="uk-UA"/>
        </w:rPr>
        <w:t>соціальних медіа</w:t>
      </w:r>
      <w:r w:rsidR="00CB0578" w:rsidRPr="00CB0578">
        <w:rPr>
          <w:lang w:val="uk-UA"/>
        </w:rPr>
        <w:t xml:space="preserve">, </w:t>
      </w:r>
      <w:r w:rsidR="00CB0578">
        <w:rPr>
          <w:lang w:val="uk-UA"/>
        </w:rPr>
        <w:t xml:space="preserve">що </w:t>
      </w:r>
      <w:r w:rsidR="00CB0578" w:rsidRPr="00CB0578">
        <w:rPr>
          <w:lang w:val="uk-UA"/>
        </w:rPr>
        <w:t xml:space="preserve">відіграють </w:t>
      </w:r>
      <w:r w:rsidR="00CB0578">
        <w:rPr>
          <w:lang w:val="uk-UA"/>
        </w:rPr>
        <w:t xml:space="preserve">дедалі вагомішу </w:t>
      </w:r>
      <w:r w:rsidR="00CB0578" w:rsidRPr="00CB0578">
        <w:rPr>
          <w:lang w:val="uk-UA"/>
        </w:rPr>
        <w:t>роль в їх</w:t>
      </w:r>
      <w:r w:rsidR="00CB0578">
        <w:rPr>
          <w:lang w:val="uk-UA"/>
        </w:rPr>
        <w:t>ній</w:t>
      </w:r>
      <w:r w:rsidR="00CB0578" w:rsidRPr="00CB0578">
        <w:rPr>
          <w:lang w:val="uk-UA"/>
        </w:rPr>
        <w:t xml:space="preserve"> освіті, </w:t>
      </w:r>
      <w:r w:rsidR="00CB0578">
        <w:rPr>
          <w:lang w:val="uk-UA"/>
        </w:rPr>
        <w:t>культурі і соціальних мережах, та</w:t>
      </w:r>
      <w:r w:rsidR="00CB0578" w:rsidRPr="00CB0578">
        <w:rPr>
          <w:lang w:val="uk-UA"/>
        </w:rPr>
        <w:t xml:space="preserve"> мають потенціал в </w:t>
      </w:r>
      <w:r w:rsidR="00CB0578">
        <w:rPr>
          <w:lang w:val="uk-UA"/>
        </w:rPr>
        <w:t xml:space="preserve">контексті </w:t>
      </w:r>
      <w:r w:rsidR="00CB0578" w:rsidRPr="00CB0578">
        <w:rPr>
          <w:lang w:val="uk-UA"/>
        </w:rPr>
        <w:t>участі в політи</w:t>
      </w:r>
      <w:r w:rsidR="00CB0578">
        <w:rPr>
          <w:lang w:val="uk-UA"/>
        </w:rPr>
        <w:t>ці та моніторингу підзвітності</w:t>
      </w:r>
      <w:r w:rsidRPr="00056BDC">
        <w:rPr>
          <w:lang w:val="uk-UA"/>
        </w:rPr>
        <w:t>.</w:t>
      </w:r>
    </w:p>
    <w:p w:rsidR="00A007F8" w:rsidRPr="00056BDC" w:rsidRDefault="00A007F8" w:rsidP="004E300D">
      <w:pPr>
        <w:pStyle w:val="SingleTxtGR"/>
        <w:spacing w:line="238" w:lineRule="atLeast"/>
        <w:rPr>
          <w:lang w:val="uk-UA"/>
        </w:rPr>
      </w:pPr>
      <w:r w:rsidRPr="00056BDC">
        <w:rPr>
          <w:lang w:val="uk-UA"/>
        </w:rPr>
        <w:t>3.</w:t>
      </w:r>
      <w:r w:rsidRPr="00056BDC">
        <w:rPr>
          <w:lang w:val="uk-UA"/>
        </w:rPr>
        <w:tab/>
      </w:r>
      <w:r w:rsidR="00931987" w:rsidRPr="00931987">
        <w:rPr>
          <w:lang w:val="uk-UA"/>
        </w:rPr>
        <w:t xml:space="preserve">Комітет </w:t>
      </w:r>
      <w:r w:rsidR="00931987">
        <w:rPr>
          <w:lang w:val="uk-UA"/>
        </w:rPr>
        <w:t>від</w:t>
      </w:r>
      <w:r w:rsidR="00931987" w:rsidRPr="00931987">
        <w:rPr>
          <w:lang w:val="uk-UA"/>
        </w:rPr>
        <w:t xml:space="preserve">значає, що потенціал підлітків </w:t>
      </w:r>
      <w:r w:rsidR="00931987">
        <w:rPr>
          <w:lang w:val="uk-UA"/>
        </w:rPr>
        <w:t>значною мірою не реалізується</w:t>
      </w:r>
      <w:r w:rsidR="00931987" w:rsidRPr="00931987">
        <w:rPr>
          <w:lang w:val="uk-UA"/>
        </w:rPr>
        <w:t>, оскільки держави-учасни</w:t>
      </w:r>
      <w:r w:rsidR="00931987">
        <w:rPr>
          <w:lang w:val="uk-UA"/>
        </w:rPr>
        <w:t xml:space="preserve">ці </w:t>
      </w:r>
      <w:r w:rsidR="00931987" w:rsidRPr="00931987">
        <w:rPr>
          <w:lang w:val="uk-UA"/>
        </w:rPr>
        <w:t xml:space="preserve">не визнають або не </w:t>
      </w:r>
      <w:r w:rsidR="00931987">
        <w:rPr>
          <w:lang w:val="uk-UA"/>
        </w:rPr>
        <w:t xml:space="preserve">інвестують у </w:t>
      </w:r>
      <w:r w:rsidR="00931987" w:rsidRPr="00931987">
        <w:rPr>
          <w:lang w:val="uk-UA"/>
        </w:rPr>
        <w:t xml:space="preserve">заходи, необхідні підліткам </w:t>
      </w:r>
      <w:r w:rsidR="00931987">
        <w:rPr>
          <w:lang w:val="uk-UA"/>
        </w:rPr>
        <w:t xml:space="preserve">для користування </w:t>
      </w:r>
      <w:r w:rsidR="00931987" w:rsidRPr="00931987">
        <w:rPr>
          <w:lang w:val="uk-UA"/>
        </w:rPr>
        <w:t xml:space="preserve">своїми правами. </w:t>
      </w:r>
      <w:r w:rsidR="00931987">
        <w:rPr>
          <w:lang w:val="uk-UA"/>
        </w:rPr>
        <w:t xml:space="preserve">В більшості країн бракує деталізованих за </w:t>
      </w:r>
      <w:r w:rsidR="00931987" w:rsidRPr="00931987">
        <w:rPr>
          <w:lang w:val="uk-UA"/>
        </w:rPr>
        <w:t>віком, статтю та інвалідн</w:t>
      </w:r>
      <w:r w:rsidR="00931987">
        <w:rPr>
          <w:lang w:val="uk-UA"/>
        </w:rPr>
        <w:t xml:space="preserve">істю даних, які б сприяли розробці політики, виявленню прогалин та виділенню </w:t>
      </w:r>
      <w:r w:rsidR="00931987" w:rsidRPr="00931987">
        <w:rPr>
          <w:lang w:val="uk-UA"/>
        </w:rPr>
        <w:t xml:space="preserve">належних </w:t>
      </w:r>
      <w:r w:rsidR="00931987">
        <w:rPr>
          <w:lang w:val="uk-UA"/>
        </w:rPr>
        <w:t xml:space="preserve">ресурсів </w:t>
      </w:r>
      <w:r w:rsidR="00931987" w:rsidRPr="00931987">
        <w:rPr>
          <w:lang w:val="uk-UA"/>
        </w:rPr>
        <w:t xml:space="preserve">для підлітків. Типові стратегії, орієнтовані на дітей </w:t>
      </w:r>
      <w:r w:rsidR="00931987">
        <w:rPr>
          <w:lang w:val="uk-UA"/>
        </w:rPr>
        <w:t xml:space="preserve">чи </w:t>
      </w:r>
      <w:r w:rsidR="00931987" w:rsidRPr="00931987">
        <w:rPr>
          <w:lang w:val="uk-UA"/>
        </w:rPr>
        <w:t xml:space="preserve">молодих людей, часто не </w:t>
      </w:r>
      <w:r w:rsidR="00931987">
        <w:rPr>
          <w:lang w:val="uk-UA"/>
        </w:rPr>
        <w:t xml:space="preserve">охоплюють </w:t>
      </w:r>
      <w:r w:rsidR="00931987" w:rsidRPr="00931987">
        <w:rPr>
          <w:lang w:val="uk-UA"/>
        </w:rPr>
        <w:t>підлітків у вс</w:t>
      </w:r>
      <w:r w:rsidR="00931987">
        <w:rPr>
          <w:lang w:val="uk-UA"/>
        </w:rPr>
        <w:t xml:space="preserve">ій їхній багатоманітності, і їх недостатньо </w:t>
      </w:r>
      <w:r w:rsidR="00931987" w:rsidRPr="00931987">
        <w:rPr>
          <w:lang w:val="uk-UA"/>
        </w:rPr>
        <w:t xml:space="preserve">для </w:t>
      </w:r>
      <w:r w:rsidR="00931987">
        <w:rPr>
          <w:lang w:val="uk-UA"/>
        </w:rPr>
        <w:t xml:space="preserve">гарантування </w:t>
      </w:r>
      <w:r w:rsidR="00931987" w:rsidRPr="00931987">
        <w:rPr>
          <w:lang w:val="uk-UA"/>
        </w:rPr>
        <w:t>здійснення їх</w:t>
      </w:r>
      <w:r w:rsidR="00931987">
        <w:rPr>
          <w:lang w:val="uk-UA"/>
        </w:rPr>
        <w:t xml:space="preserve">ніх прав. Втрати через </w:t>
      </w:r>
      <w:r w:rsidR="00931987" w:rsidRPr="00931987">
        <w:rPr>
          <w:lang w:val="uk-UA"/>
        </w:rPr>
        <w:t>бездіяльніст</w:t>
      </w:r>
      <w:r w:rsidR="00931987">
        <w:rPr>
          <w:lang w:val="uk-UA"/>
        </w:rPr>
        <w:t xml:space="preserve">ь та невдачі є доволі високими, адже </w:t>
      </w:r>
      <w:r w:rsidR="00931987" w:rsidRPr="00931987">
        <w:rPr>
          <w:lang w:val="uk-UA"/>
        </w:rPr>
        <w:t xml:space="preserve">основи, </w:t>
      </w:r>
      <w:r w:rsidR="00931987">
        <w:rPr>
          <w:lang w:val="uk-UA"/>
        </w:rPr>
        <w:t xml:space="preserve">що закладаються </w:t>
      </w:r>
      <w:r w:rsidR="00931987" w:rsidRPr="00931987">
        <w:rPr>
          <w:lang w:val="uk-UA"/>
        </w:rPr>
        <w:t xml:space="preserve">в підлітковому віці </w:t>
      </w:r>
      <w:r w:rsidR="00931987">
        <w:rPr>
          <w:lang w:val="uk-UA"/>
        </w:rPr>
        <w:t xml:space="preserve">щодо </w:t>
      </w:r>
      <w:r w:rsidR="00931987" w:rsidRPr="00931987">
        <w:rPr>
          <w:lang w:val="uk-UA"/>
        </w:rPr>
        <w:t xml:space="preserve">емоційної </w:t>
      </w:r>
      <w:r w:rsidR="00931987">
        <w:rPr>
          <w:lang w:val="uk-UA"/>
        </w:rPr>
        <w:t>захищеності, здоров’</w:t>
      </w:r>
      <w:r w:rsidR="00931987" w:rsidRPr="00931987">
        <w:rPr>
          <w:lang w:val="uk-UA"/>
        </w:rPr>
        <w:t xml:space="preserve">я, сексуальності, освіти, </w:t>
      </w:r>
      <w:r w:rsidR="00931987">
        <w:rPr>
          <w:lang w:val="uk-UA"/>
        </w:rPr>
        <w:t>навичок</w:t>
      </w:r>
      <w:r w:rsidR="00931987" w:rsidRPr="00931987">
        <w:rPr>
          <w:lang w:val="uk-UA"/>
        </w:rPr>
        <w:t xml:space="preserve">, психологічної стійкості </w:t>
      </w:r>
      <w:r w:rsidR="00931987">
        <w:rPr>
          <w:lang w:val="uk-UA"/>
        </w:rPr>
        <w:t xml:space="preserve">та </w:t>
      </w:r>
      <w:r w:rsidR="00931987" w:rsidRPr="00931987">
        <w:rPr>
          <w:lang w:val="uk-UA"/>
        </w:rPr>
        <w:t>розуміння прав, неодмінно позначяться не тільки на оптимальному особистому розвитку</w:t>
      </w:r>
      <w:r w:rsidR="00931987">
        <w:rPr>
          <w:lang w:val="uk-UA"/>
        </w:rPr>
        <w:t xml:space="preserve"> підлітка</w:t>
      </w:r>
      <w:r w:rsidR="00931987" w:rsidRPr="00931987">
        <w:rPr>
          <w:lang w:val="uk-UA"/>
        </w:rPr>
        <w:t>, а</w:t>
      </w:r>
      <w:r w:rsidR="00931987">
        <w:rPr>
          <w:lang w:val="uk-UA"/>
        </w:rPr>
        <w:t>ле</w:t>
      </w:r>
      <w:r w:rsidR="00931987" w:rsidRPr="00931987">
        <w:rPr>
          <w:lang w:val="uk-UA"/>
        </w:rPr>
        <w:t xml:space="preserve"> й на нинішньому і майбутньому соціально-економічному розвитку</w:t>
      </w:r>
      <w:r w:rsidRPr="00056BDC">
        <w:rPr>
          <w:lang w:val="uk-UA"/>
        </w:rPr>
        <w:t>.</w:t>
      </w:r>
    </w:p>
    <w:p w:rsidR="00A007F8" w:rsidRPr="00056BDC" w:rsidRDefault="00A007F8" w:rsidP="004E300D">
      <w:pPr>
        <w:pStyle w:val="SingleTxtGR"/>
        <w:spacing w:line="238" w:lineRule="atLeast"/>
        <w:rPr>
          <w:lang w:val="uk-UA"/>
        </w:rPr>
      </w:pPr>
      <w:r w:rsidRPr="00056BDC">
        <w:rPr>
          <w:lang w:val="uk-UA"/>
        </w:rPr>
        <w:t>4.</w:t>
      </w:r>
      <w:r w:rsidRPr="00056BDC">
        <w:rPr>
          <w:lang w:val="uk-UA"/>
        </w:rPr>
        <w:tab/>
      </w:r>
      <w:r w:rsidR="009B439F" w:rsidRPr="009B439F">
        <w:rPr>
          <w:lang w:val="uk-UA"/>
        </w:rPr>
        <w:t xml:space="preserve">У </w:t>
      </w:r>
      <w:r w:rsidR="009B439F">
        <w:rPr>
          <w:lang w:val="uk-UA"/>
        </w:rPr>
        <w:t xml:space="preserve">даному </w:t>
      </w:r>
      <w:r w:rsidR="009B439F" w:rsidRPr="009B439F">
        <w:rPr>
          <w:lang w:val="uk-UA"/>
        </w:rPr>
        <w:t xml:space="preserve">зауваженні загального порядку Комітет пропонує державам рекомендації щодо заходів, необхідних для забезпечення здійснення прав дітей в підлітковому віці, </w:t>
      </w:r>
      <w:r w:rsidR="009B439F">
        <w:rPr>
          <w:lang w:val="uk-UA"/>
        </w:rPr>
        <w:t xml:space="preserve">враховуючи </w:t>
      </w:r>
      <w:r w:rsidR="009B439F" w:rsidRPr="009B439F">
        <w:rPr>
          <w:lang w:val="uk-UA"/>
        </w:rPr>
        <w:t xml:space="preserve">також </w:t>
      </w:r>
      <w:r w:rsidR="009B439F">
        <w:rPr>
          <w:lang w:val="uk-UA"/>
        </w:rPr>
        <w:t xml:space="preserve">положення </w:t>
      </w:r>
      <w:r w:rsidR="009B439F" w:rsidRPr="009B439F">
        <w:rPr>
          <w:lang w:val="uk-UA"/>
        </w:rPr>
        <w:t>Поряд</w:t>
      </w:r>
      <w:r w:rsidR="009B439F">
        <w:rPr>
          <w:lang w:val="uk-UA"/>
        </w:rPr>
        <w:t xml:space="preserve">ку денного сталого розвитку </w:t>
      </w:r>
      <w:r w:rsidR="009B439F" w:rsidRPr="009B439F">
        <w:rPr>
          <w:lang w:val="uk-UA"/>
        </w:rPr>
        <w:t xml:space="preserve">до 2030 року. </w:t>
      </w:r>
      <w:r w:rsidR="009B439F">
        <w:rPr>
          <w:lang w:val="uk-UA"/>
        </w:rPr>
        <w:t xml:space="preserve">Комітет наголошує на важливості </w:t>
      </w:r>
      <w:r w:rsidR="009B439F" w:rsidRPr="009B439F">
        <w:rPr>
          <w:lang w:val="uk-UA"/>
        </w:rPr>
        <w:t>підходу</w:t>
      </w:r>
      <w:r w:rsidR="009B439F">
        <w:rPr>
          <w:lang w:val="uk-UA"/>
        </w:rPr>
        <w:t xml:space="preserve"> на основі </w:t>
      </w:r>
      <w:r w:rsidR="009B439F" w:rsidRPr="009B439F">
        <w:rPr>
          <w:lang w:val="uk-UA"/>
        </w:rPr>
        <w:t xml:space="preserve">прав людини, </w:t>
      </w:r>
      <w:r w:rsidR="009B439F">
        <w:rPr>
          <w:lang w:val="uk-UA"/>
        </w:rPr>
        <w:t>що передбачає визнання та</w:t>
      </w:r>
      <w:r w:rsidR="009B439F" w:rsidRPr="009B439F">
        <w:rPr>
          <w:lang w:val="uk-UA"/>
        </w:rPr>
        <w:t xml:space="preserve"> повагу </w:t>
      </w:r>
      <w:r w:rsidR="009B439F">
        <w:rPr>
          <w:lang w:val="uk-UA"/>
        </w:rPr>
        <w:t xml:space="preserve">до </w:t>
      </w:r>
      <w:r w:rsidR="009B439F" w:rsidRPr="009B439F">
        <w:rPr>
          <w:lang w:val="uk-UA"/>
        </w:rPr>
        <w:t>гідності підлітків і їх здатності до дій; розширення їх</w:t>
      </w:r>
      <w:r w:rsidR="009B439F">
        <w:rPr>
          <w:lang w:val="uk-UA"/>
        </w:rPr>
        <w:t xml:space="preserve">ніх прав та можливостей, </w:t>
      </w:r>
      <w:r w:rsidR="009B439F" w:rsidRPr="009B439F">
        <w:rPr>
          <w:lang w:val="uk-UA"/>
        </w:rPr>
        <w:t xml:space="preserve">громадянської позиції і активної участі у власному житті; сприяння </w:t>
      </w:r>
      <w:r w:rsidR="009B439F">
        <w:rPr>
          <w:lang w:val="uk-UA"/>
        </w:rPr>
        <w:t>досягненню оптимального здоров’</w:t>
      </w:r>
      <w:r w:rsidR="009B439F" w:rsidRPr="009B439F">
        <w:rPr>
          <w:lang w:val="uk-UA"/>
        </w:rPr>
        <w:t xml:space="preserve">я, благополуччя і розвитку; і відданість справі </w:t>
      </w:r>
      <w:r w:rsidR="009B439F">
        <w:rPr>
          <w:lang w:val="uk-UA"/>
        </w:rPr>
        <w:t>просування</w:t>
      </w:r>
      <w:r w:rsidR="009B439F" w:rsidRPr="009B439F">
        <w:rPr>
          <w:lang w:val="uk-UA"/>
        </w:rPr>
        <w:t>, захисту і реалізації їх</w:t>
      </w:r>
      <w:r w:rsidR="009B439F">
        <w:rPr>
          <w:lang w:val="uk-UA"/>
        </w:rPr>
        <w:t xml:space="preserve">ніх людських </w:t>
      </w:r>
      <w:r w:rsidR="009B439F" w:rsidRPr="009B439F">
        <w:rPr>
          <w:lang w:val="uk-UA"/>
        </w:rPr>
        <w:t>прав людини без будь-якої дискримінації</w:t>
      </w:r>
      <w:r w:rsidRPr="00056BDC">
        <w:rPr>
          <w:lang w:val="uk-UA"/>
        </w:rPr>
        <w:t xml:space="preserve">. </w:t>
      </w:r>
    </w:p>
    <w:p w:rsidR="00A007F8" w:rsidRPr="009B439F" w:rsidRDefault="00A007F8" w:rsidP="00A007F8">
      <w:pPr>
        <w:pStyle w:val="SingleTxtGR"/>
        <w:rPr>
          <w:lang w:val="uk-UA"/>
        </w:rPr>
      </w:pPr>
      <w:r w:rsidRPr="009B439F">
        <w:rPr>
          <w:lang w:val="uk-UA"/>
        </w:rPr>
        <w:t>5.</w:t>
      </w:r>
      <w:r w:rsidRPr="009B439F">
        <w:rPr>
          <w:lang w:val="uk-UA"/>
        </w:rPr>
        <w:tab/>
      </w:r>
      <w:r w:rsidR="009B439F" w:rsidRPr="009B439F">
        <w:rPr>
          <w:lang w:val="uk-UA"/>
        </w:rPr>
        <w:t xml:space="preserve">Комітет визнає, що підлітковий вік </w:t>
      </w:r>
      <w:r w:rsidR="009B439F">
        <w:rPr>
          <w:lang w:val="uk-UA"/>
        </w:rPr>
        <w:t xml:space="preserve">визначити доволі складно, </w:t>
      </w:r>
      <w:r w:rsidR="009B439F" w:rsidRPr="009B439F">
        <w:rPr>
          <w:lang w:val="uk-UA"/>
        </w:rPr>
        <w:t xml:space="preserve">і що діти можуть досягати зрілості в різному віці. </w:t>
      </w:r>
      <w:r w:rsidR="009B439F">
        <w:rPr>
          <w:lang w:val="uk-UA"/>
        </w:rPr>
        <w:t>Статеве д</w:t>
      </w:r>
      <w:r w:rsidR="009B439F" w:rsidRPr="009B439F">
        <w:rPr>
          <w:lang w:val="uk-UA"/>
        </w:rPr>
        <w:t xml:space="preserve">озрівання хлопчиків і дівчаток відбувається в різному віці; </w:t>
      </w:r>
      <w:r w:rsidR="009B439F">
        <w:rPr>
          <w:lang w:val="uk-UA"/>
        </w:rPr>
        <w:t xml:space="preserve">так само по-різному </w:t>
      </w:r>
      <w:r w:rsidR="009B439F" w:rsidRPr="009B439F">
        <w:rPr>
          <w:lang w:val="uk-UA"/>
        </w:rPr>
        <w:t xml:space="preserve">розвиваються різні функції мозку. Процес переходу від дитинства до дорослого життя залежить від контексту і </w:t>
      </w:r>
      <w:r w:rsidR="009B439F">
        <w:rPr>
          <w:lang w:val="uk-UA"/>
        </w:rPr>
        <w:t>середовища</w:t>
      </w:r>
      <w:r w:rsidR="009B439F" w:rsidRPr="009B439F">
        <w:rPr>
          <w:lang w:val="uk-UA"/>
        </w:rPr>
        <w:t xml:space="preserve">, що знайшло своє відображення </w:t>
      </w:r>
      <w:r w:rsidR="009B439F">
        <w:rPr>
          <w:lang w:val="uk-UA"/>
        </w:rPr>
        <w:t xml:space="preserve">у розмаїтті </w:t>
      </w:r>
      <w:r w:rsidR="009B439F" w:rsidRPr="009B439F">
        <w:rPr>
          <w:lang w:val="uk-UA"/>
        </w:rPr>
        <w:t xml:space="preserve">культурних </w:t>
      </w:r>
      <w:r w:rsidR="009B439F">
        <w:rPr>
          <w:lang w:val="uk-UA"/>
        </w:rPr>
        <w:lastRenderedPageBreak/>
        <w:t xml:space="preserve">очікувань від </w:t>
      </w:r>
      <w:r w:rsidR="009B439F" w:rsidRPr="009B439F">
        <w:rPr>
          <w:lang w:val="uk-UA"/>
        </w:rPr>
        <w:t>підлітків в національн</w:t>
      </w:r>
      <w:r w:rsidR="009B439F">
        <w:rPr>
          <w:lang w:val="uk-UA"/>
        </w:rPr>
        <w:t>ому законодавстві</w:t>
      </w:r>
      <w:r w:rsidR="009B439F" w:rsidRPr="009B439F">
        <w:rPr>
          <w:lang w:val="uk-UA"/>
        </w:rPr>
        <w:t xml:space="preserve">, </w:t>
      </w:r>
      <w:r w:rsidR="009B439F">
        <w:rPr>
          <w:lang w:val="uk-UA"/>
        </w:rPr>
        <w:t xml:space="preserve">що передбачають </w:t>
      </w:r>
      <w:r w:rsidR="009B439F" w:rsidRPr="009B439F">
        <w:rPr>
          <w:lang w:val="uk-UA"/>
        </w:rPr>
        <w:t>різні порог</w:t>
      </w:r>
      <w:r w:rsidR="009B439F">
        <w:rPr>
          <w:lang w:val="uk-UA"/>
        </w:rPr>
        <w:t>и долучення до дорослої діяльності</w:t>
      </w:r>
      <w:r w:rsidR="009B439F" w:rsidRPr="009B439F">
        <w:rPr>
          <w:lang w:val="uk-UA"/>
        </w:rPr>
        <w:t xml:space="preserve">, а також у багатьох міжнародних органах, які </w:t>
      </w:r>
      <w:r w:rsidR="009B439F">
        <w:rPr>
          <w:lang w:val="uk-UA"/>
        </w:rPr>
        <w:t xml:space="preserve">застосовують </w:t>
      </w:r>
      <w:r w:rsidR="009B439F" w:rsidRPr="009B439F">
        <w:rPr>
          <w:lang w:val="uk-UA"/>
        </w:rPr>
        <w:t xml:space="preserve">різні вікові категорії для визначення підліткового віку. Тому </w:t>
      </w:r>
      <w:r w:rsidR="009B439F">
        <w:rPr>
          <w:lang w:val="uk-UA"/>
        </w:rPr>
        <w:t>це зауваження</w:t>
      </w:r>
      <w:r w:rsidR="009B439F" w:rsidRPr="009B439F">
        <w:rPr>
          <w:lang w:val="uk-UA"/>
        </w:rPr>
        <w:t xml:space="preserve"> загального порядку </w:t>
      </w:r>
      <w:r w:rsidR="009B439F">
        <w:rPr>
          <w:lang w:val="uk-UA"/>
        </w:rPr>
        <w:t xml:space="preserve">не має на меті визначення підліткового віку; натомість основна увага зосередиться на </w:t>
      </w:r>
      <w:r w:rsidR="009B439F" w:rsidRPr="009B439F">
        <w:rPr>
          <w:lang w:val="uk-UA"/>
        </w:rPr>
        <w:t>періоді дитинства з 10 років до досягнення 18-</w:t>
      </w:r>
      <w:r w:rsidR="009B439F">
        <w:rPr>
          <w:lang w:val="uk-UA"/>
        </w:rPr>
        <w:t>ліття</w:t>
      </w:r>
      <w:r w:rsidR="009B439F" w:rsidRPr="009B439F">
        <w:rPr>
          <w:lang w:val="uk-UA"/>
        </w:rPr>
        <w:t>, з тим</w:t>
      </w:r>
      <w:r w:rsidR="009B439F">
        <w:rPr>
          <w:lang w:val="uk-UA"/>
        </w:rPr>
        <w:t>,</w:t>
      </w:r>
      <w:r w:rsidR="009B439F" w:rsidRPr="009B439F">
        <w:rPr>
          <w:lang w:val="uk-UA"/>
        </w:rPr>
        <w:t xml:space="preserve"> щоб </w:t>
      </w:r>
      <w:r w:rsidR="009B439F">
        <w:rPr>
          <w:lang w:val="uk-UA"/>
        </w:rPr>
        <w:t xml:space="preserve">уможливити системний збір </w:t>
      </w:r>
      <w:r w:rsidR="009B439F" w:rsidRPr="009B439F">
        <w:rPr>
          <w:lang w:val="uk-UA"/>
        </w:rPr>
        <w:t>даних</w:t>
      </w:r>
      <w:r w:rsidRPr="009B439F">
        <w:rPr>
          <w:sz w:val="18"/>
          <w:vertAlign w:val="superscript"/>
          <w:lang w:val="uk-UA"/>
        </w:rPr>
        <w:footnoteReference w:id="1"/>
      </w:r>
      <w:r w:rsidRPr="009B439F">
        <w:rPr>
          <w:lang w:val="uk-UA"/>
        </w:rPr>
        <w:t>.</w:t>
      </w:r>
    </w:p>
    <w:p w:rsidR="00A007F8" w:rsidRPr="009B439F" w:rsidRDefault="00A007F8" w:rsidP="00A007F8">
      <w:pPr>
        <w:pStyle w:val="SingleTxtGR"/>
        <w:rPr>
          <w:lang w:val="uk-UA"/>
        </w:rPr>
      </w:pPr>
      <w:r w:rsidRPr="009B439F">
        <w:rPr>
          <w:lang w:val="uk-UA"/>
        </w:rPr>
        <w:t>6.</w:t>
      </w:r>
      <w:r w:rsidRPr="009B439F">
        <w:rPr>
          <w:lang w:val="uk-UA"/>
        </w:rPr>
        <w:tab/>
      </w:r>
      <w:r w:rsidR="001B38B2" w:rsidRPr="001B38B2">
        <w:rPr>
          <w:lang w:val="uk-UA"/>
        </w:rPr>
        <w:t xml:space="preserve">Комітет </w:t>
      </w:r>
      <w:r w:rsidR="001B38B2">
        <w:rPr>
          <w:lang w:val="uk-UA"/>
        </w:rPr>
        <w:t>відзначає</w:t>
      </w:r>
      <w:r w:rsidR="001B38B2" w:rsidRPr="001B38B2">
        <w:rPr>
          <w:lang w:val="uk-UA"/>
        </w:rPr>
        <w:t xml:space="preserve">, що </w:t>
      </w:r>
      <w:r w:rsidR="001B38B2">
        <w:rPr>
          <w:lang w:val="uk-UA"/>
        </w:rPr>
        <w:t xml:space="preserve">низка </w:t>
      </w:r>
      <w:r w:rsidR="001B38B2" w:rsidRPr="001B38B2">
        <w:rPr>
          <w:lang w:val="uk-UA"/>
        </w:rPr>
        <w:t xml:space="preserve">його зауважень загального порядку мають особливе значення для підлітків, </w:t>
      </w:r>
      <w:r w:rsidR="001B38B2">
        <w:rPr>
          <w:lang w:val="uk-UA"/>
        </w:rPr>
        <w:t>насамперед тих</w:t>
      </w:r>
      <w:r w:rsidR="001B38B2" w:rsidRPr="001B38B2">
        <w:rPr>
          <w:lang w:val="uk-UA"/>
        </w:rPr>
        <w:t xml:space="preserve">, </w:t>
      </w:r>
      <w:r w:rsidR="001B38B2">
        <w:rPr>
          <w:lang w:val="uk-UA"/>
        </w:rPr>
        <w:t xml:space="preserve">що </w:t>
      </w:r>
      <w:r w:rsidR="001B38B2" w:rsidRPr="001B38B2">
        <w:rPr>
          <w:lang w:val="uk-UA"/>
        </w:rPr>
        <w:t xml:space="preserve">стосуються </w:t>
      </w:r>
      <w:r w:rsidR="001B38B2">
        <w:rPr>
          <w:lang w:val="uk-UA"/>
        </w:rPr>
        <w:t>здоров’я та розвитку підлітків, ВІЛ/</w:t>
      </w:r>
      <w:r w:rsidR="001B38B2" w:rsidRPr="001B38B2">
        <w:rPr>
          <w:lang w:val="uk-UA"/>
        </w:rPr>
        <w:t>СНІДу, викорін</w:t>
      </w:r>
      <w:r w:rsidR="001B38B2">
        <w:rPr>
          <w:lang w:val="uk-UA"/>
        </w:rPr>
        <w:t>ення шкідливих для жінок і дітей практик</w:t>
      </w:r>
      <w:r w:rsidR="001B38B2" w:rsidRPr="001B38B2">
        <w:rPr>
          <w:lang w:val="uk-UA"/>
        </w:rPr>
        <w:t xml:space="preserve">, </w:t>
      </w:r>
      <w:r w:rsidR="001B38B2">
        <w:rPr>
          <w:lang w:val="uk-UA"/>
        </w:rPr>
        <w:t xml:space="preserve">становища дітей без супроводу і </w:t>
      </w:r>
      <w:r w:rsidR="001B38B2" w:rsidRPr="001B38B2">
        <w:rPr>
          <w:lang w:val="uk-UA"/>
        </w:rPr>
        <w:t xml:space="preserve">розлучених </w:t>
      </w:r>
      <w:r w:rsidR="001B38B2">
        <w:rPr>
          <w:lang w:val="uk-UA"/>
        </w:rPr>
        <w:t>із сім’</w:t>
      </w:r>
      <w:r w:rsidR="001B38B2" w:rsidRPr="001B38B2">
        <w:rPr>
          <w:lang w:val="uk-UA"/>
        </w:rPr>
        <w:t xml:space="preserve">ями дітей, </w:t>
      </w:r>
      <w:r w:rsidR="001B38B2">
        <w:rPr>
          <w:lang w:val="uk-UA"/>
        </w:rPr>
        <w:t xml:space="preserve">а також </w:t>
      </w:r>
      <w:r w:rsidR="001B38B2" w:rsidRPr="001B38B2">
        <w:rPr>
          <w:lang w:val="uk-UA"/>
        </w:rPr>
        <w:t xml:space="preserve">правосуддя щодо неповнолітніх. Комітет </w:t>
      </w:r>
      <w:r w:rsidR="001B38B2">
        <w:rPr>
          <w:lang w:val="uk-UA"/>
        </w:rPr>
        <w:t xml:space="preserve">звертає увагу на </w:t>
      </w:r>
      <w:r w:rsidR="001B38B2" w:rsidRPr="001B38B2">
        <w:rPr>
          <w:lang w:val="uk-UA"/>
        </w:rPr>
        <w:t xml:space="preserve">особливу значимість для підлітків рекомендацій, </w:t>
      </w:r>
      <w:r w:rsidR="001B38B2">
        <w:rPr>
          <w:lang w:val="uk-UA"/>
        </w:rPr>
        <w:t xml:space="preserve">розроблених </w:t>
      </w:r>
      <w:r w:rsidR="001B38B2" w:rsidRPr="001B38B2">
        <w:rPr>
          <w:lang w:val="uk-UA"/>
        </w:rPr>
        <w:t xml:space="preserve">за підсумками загальної дискусії на тему цифрових медіа та прав дітей. </w:t>
      </w:r>
      <w:r w:rsidR="001B38B2">
        <w:rPr>
          <w:lang w:val="uk-UA"/>
        </w:rPr>
        <w:t xml:space="preserve">Дане </w:t>
      </w:r>
      <w:r w:rsidR="001B38B2" w:rsidRPr="001B38B2">
        <w:rPr>
          <w:lang w:val="uk-UA"/>
        </w:rPr>
        <w:t xml:space="preserve">зауваження загального порядку </w:t>
      </w:r>
      <w:r w:rsidR="001B38B2">
        <w:rPr>
          <w:lang w:val="uk-UA"/>
        </w:rPr>
        <w:t xml:space="preserve">було </w:t>
      </w:r>
      <w:r w:rsidR="001B38B2" w:rsidRPr="001B38B2">
        <w:rPr>
          <w:lang w:val="uk-UA"/>
        </w:rPr>
        <w:t>розроблен</w:t>
      </w:r>
      <w:r w:rsidR="001B38B2">
        <w:rPr>
          <w:lang w:val="uk-UA"/>
        </w:rPr>
        <w:t xml:space="preserve">е таким чином, щоб </w:t>
      </w:r>
      <w:r w:rsidR="001B38B2" w:rsidRPr="001B38B2">
        <w:rPr>
          <w:lang w:val="uk-UA"/>
        </w:rPr>
        <w:t xml:space="preserve">дати загальне уявлення про те, </w:t>
      </w:r>
      <w:r w:rsidR="001B38B2">
        <w:rPr>
          <w:lang w:val="uk-UA"/>
        </w:rPr>
        <w:t>як слід розуміти та реалізовувати Конвенцію в у</w:t>
      </w:r>
      <w:r w:rsidR="001B38B2" w:rsidRPr="001B38B2">
        <w:rPr>
          <w:lang w:val="uk-UA"/>
        </w:rPr>
        <w:t xml:space="preserve">сій її повноті </w:t>
      </w:r>
      <w:r w:rsidR="001B38B2">
        <w:rPr>
          <w:lang w:val="uk-UA"/>
        </w:rPr>
        <w:t xml:space="preserve">у відношенні </w:t>
      </w:r>
      <w:r w:rsidR="001B38B2" w:rsidRPr="001B38B2">
        <w:rPr>
          <w:lang w:val="uk-UA"/>
        </w:rPr>
        <w:t xml:space="preserve">до всіх підлітків, </w:t>
      </w:r>
      <w:r w:rsidR="001B38B2">
        <w:rPr>
          <w:lang w:val="uk-UA"/>
        </w:rPr>
        <w:t>і розглядати у тісному взаємозв’</w:t>
      </w:r>
      <w:r w:rsidR="001B38B2" w:rsidRPr="001B38B2">
        <w:rPr>
          <w:lang w:val="uk-UA"/>
        </w:rPr>
        <w:t>язку з іншими з</w:t>
      </w:r>
      <w:r w:rsidR="001B38B2">
        <w:rPr>
          <w:lang w:val="uk-UA"/>
        </w:rPr>
        <w:t>ауваженнями загального порядку та</w:t>
      </w:r>
      <w:r w:rsidR="001B38B2" w:rsidRPr="001B38B2">
        <w:rPr>
          <w:lang w:val="uk-UA"/>
        </w:rPr>
        <w:t xml:space="preserve"> документами за підсумками загальної дискусії</w:t>
      </w:r>
      <w:r w:rsidRPr="009B439F">
        <w:rPr>
          <w:lang w:val="uk-UA"/>
        </w:rPr>
        <w:t>.</w:t>
      </w:r>
    </w:p>
    <w:p w:rsidR="00A007F8" w:rsidRPr="009B439F" w:rsidRDefault="00A007F8" w:rsidP="0067613A">
      <w:pPr>
        <w:pStyle w:val="HChGR"/>
        <w:rPr>
          <w:lang w:val="uk-UA"/>
        </w:rPr>
      </w:pPr>
      <w:r w:rsidRPr="009B439F">
        <w:rPr>
          <w:lang w:val="uk-UA"/>
        </w:rPr>
        <w:tab/>
        <w:t>II.</w:t>
      </w:r>
      <w:r w:rsidRPr="009B439F">
        <w:rPr>
          <w:lang w:val="uk-UA"/>
        </w:rPr>
        <w:tab/>
        <w:t>Ц</w:t>
      </w:r>
      <w:r w:rsidR="001B38B2">
        <w:rPr>
          <w:lang w:val="uk-UA"/>
        </w:rPr>
        <w:t>ілі</w:t>
      </w:r>
      <w:r w:rsidRPr="009B439F">
        <w:rPr>
          <w:lang w:val="uk-UA"/>
        </w:rPr>
        <w:t xml:space="preserve"> </w:t>
      </w:r>
      <w:bookmarkStart w:id="1" w:name="_Toc468797233"/>
      <w:bookmarkEnd w:id="1"/>
    </w:p>
    <w:p w:rsidR="00A007F8" w:rsidRPr="009B439F" w:rsidRDefault="00A007F8" w:rsidP="00A007F8">
      <w:pPr>
        <w:pStyle w:val="SingleTxtGR"/>
        <w:rPr>
          <w:lang w:val="uk-UA"/>
        </w:rPr>
      </w:pPr>
      <w:r w:rsidRPr="009B439F">
        <w:rPr>
          <w:lang w:val="uk-UA"/>
        </w:rPr>
        <w:t>7.</w:t>
      </w:r>
      <w:r w:rsidRPr="009B439F">
        <w:rPr>
          <w:lang w:val="uk-UA"/>
        </w:rPr>
        <w:tab/>
        <w:t>Ц</w:t>
      </w:r>
      <w:r w:rsidR="001B38B2">
        <w:rPr>
          <w:lang w:val="uk-UA"/>
        </w:rPr>
        <w:t>ілями цього зауваження загального порядку є</w:t>
      </w:r>
      <w:r w:rsidRPr="009B439F">
        <w:rPr>
          <w:lang w:val="uk-UA"/>
        </w:rPr>
        <w:t>:</w:t>
      </w:r>
    </w:p>
    <w:p w:rsidR="00A007F8" w:rsidRPr="009B439F" w:rsidRDefault="00A007F8" w:rsidP="00A007F8">
      <w:pPr>
        <w:pStyle w:val="SingleTxtGR"/>
        <w:rPr>
          <w:lang w:val="uk-UA"/>
        </w:rPr>
      </w:pPr>
      <w:r w:rsidRPr="009B439F">
        <w:rPr>
          <w:lang w:val="uk-UA"/>
        </w:rPr>
        <w:tab/>
        <w:t>a)</w:t>
      </w:r>
      <w:r w:rsidRPr="009B439F">
        <w:rPr>
          <w:lang w:val="uk-UA"/>
        </w:rPr>
        <w:tab/>
      </w:r>
      <w:r w:rsidR="001B38B2">
        <w:rPr>
          <w:lang w:val="uk-UA"/>
        </w:rPr>
        <w:t>надати державам керівництва стосовно законодавства, політики та послуг, необхідних для заохочення комплексного розвитку підлітків з урахуванням реалізації їхніх прав</w:t>
      </w:r>
      <w:r w:rsidRPr="009B439F">
        <w:rPr>
          <w:lang w:val="uk-UA"/>
        </w:rPr>
        <w:t>;</w:t>
      </w:r>
    </w:p>
    <w:p w:rsidR="00A007F8" w:rsidRPr="009B439F" w:rsidRDefault="001B38B2" w:rsidP="00A007F8">
      <w:pPr>
        <w:pStyle w:val="SingleTxtGR"/>
        <w:rPr>
          <w:lang w:val="uk-UA"/>
        </w:rPr>
      </w:pPr>
      <w:r>
        <w:rPr>
          <w:lang w:val="uk-UA"/>
        </w:rPr>
        <w:tab/>
        <w:t>b)</w:t>
      </w:r>
      <w:r>
        <w:rPr>
          <w:lang w:val="uk-UA"/>
        </w:rPr>
        <w:tab/>
        <w:t>підвищити обізнаність про можливості та виклики підліткового віку</w:t>
      </w:r>
      <w:r w:rsidR="00A007F8" w:rsidRPr="009B439F">
        <w:rPr>
          <w:lang w:val="uk-UA"/>
        </w:rPr>
        <w:t>;</w:t>
      </w:r>
    </w:p>
    <w:p w:rsidR="00A007F8" w:rsidRPr="009B439F" w:rsidRDefault="001B38B2" w:rsidP="00A007F8">
      <w:pPr>
        <w:pStyle w:val="SingleTxtGR"/>
        <w:rPr>
          <w:lang w:val="uk-UA"/>
        </w:rPr>
      </w:pPr>
      <w:r>
        <w:rPr>
          <w:lang w:val="uk-UA"/>
        </w:rPr>
        <w:tab/>
        <w:t>c)</w:t>
      </w:r>
      <w:r>
        <w:rPr>
          <w:lang w:val="uk-UA"/>
        </w:rPr>
        <w:tab/>
        <w:t>поглибити розуміння та посилити повагу до здібностей підлітків, що розвиваються, та їхніх наслідків для реалізації прав</w:t>
      </w:r>
      <w:r w:rsidR="00A007F8" w:rsidRPr="009B439F">
        <w:rPr>
          <w:lang w:val="uk-UA"/>
        </w:rPr>
        <w:t xml:space="preserve">; </w:t>
      </w:r>
    </w:p>
    <w:p w:rsidR="00A007F8" w:rsidRPr="009B439F" w:rsidRDefault="00A007F8" w:rsidP="00A007F8">
      <w:pPr>
        <w:pStyle w:val="SingleTxtGR"/>
        <w:rPr>
          <w:lang w:val="uk-UA"/>
        </w:rPr>
      </w:pPr>
      <w:r w:rsidRPr="009B439F">
        <w:rPr>
          <w:lang w:val="uk-UA"/>
        </w:rPr>
        <w:tab/>
        <w:t>d)</w:t>
      </w:r>
      <w:r w:rsidRPr="009B439F">
        <w:rPr>
          <w:lang w:val="uk-UA"/>
        </w:rPr>
        <w:tab/>
      </w:r>
      <w:r w:rsidR="007219E5" w:rsidRPr="007219E5">
        <w:rPr>
          <w:lang w:val="uk-UA"/>
        </w:rPr>
        <w:t>під</w:t>
      </w:r>
      <w:r w:rsidR="007219E5">
        <w:rPr>
          <w:lang w:val="uk-UA"/>
        </w:rPr>
        <w:t xml:space="preserve">силити </w:t>
      </w:r>
      <w:r w:rsidR="007219E5" w:rsidRPr="007219E5">
        <w:rPr>
          <w:lang w:val="uk-UA"/>
        </w:rPr>
        <w:t>аргумент</w:t>
      </w:r>
      <w:r w:rsidR="007219E5">
        <w:rPr>
          <w:lang w:val="uk-UA"/>
        </w:rPr>
        <w:t xml:space="preserve">и </w:t>
      </w:r>
      <w:r w:rsidR="007219E5" w:rsidRPr="007219E5">
        <w:rPr>
          <w:lang w:val="uk-UA"/>
        </w:rPr>
        <w:t>на підтримку більш</w:t>
      </w:r>
      <w:r w:rsidR="007219E5">
        <w:rPr>
          <w:lang w:val="uk-UA"/>
        </w:rPr>
        <w:t xml:space="preserve">ої видимості підлітків та обізнаності про </w:t>
      </w:r>
      <w:r w:rsidR="007219E5" w:rsidRPr="007219E5">
        <w:rPr>
          <w:lang w:val="uk-UA"/>
        </w:rPr>
        <w:t xml:space="preserve">них, а також </w:t>
      </w:r>
      <w:r w:rsidR="007219E5">
        <w:rPr>
          <w:lang w:val="uk-UA"/>
        </w:rPr>
        <w:t xml:space="preserve">на користь інвестицій, що нададуть підліткам можливість </w:t>
      </w:r>
      <w:r w:rsidR="007219E5" w:rsidRPr="007219E5">
        <w:rPr>
          <w:lang w:val="uk-UA"/>
        </w:rPr>
        <w:t>реалізувати свої права протягом всього життя</w:t>
      </w:r>
      <w:r w:rsidRPr="009B439F">
        <w:rPr>
          <w:lang w:val="uk-UA"/>
        </w:rPr>
        <w:t>.</w:t>
      </w:r>
    </w:p>
    <w:p w:rsidR="00A007F8" w:rsidRPr="009B439F" w:rsidRDefault="007219E5" w:rsidP="0067613A">
      <w:pPr>
        <w:pStyle w:val="HChGR"/>
        <w:rPr>
          <w:lang w:val="uk-UA"/>
        </w:rPr>
      </w:pPr>
      <w:r>
        <w:rPr>
          <w:lang w:val="uk-UA"/>
        </w:rPr>
        <w:tab/>
        <w:t>III.</w:t>
      </w:r>
      <w:r>
        <w:rPr>
          <w:lang w:val="uk-UA"/>
        </w:rPr>
        <w:tab/>
        <w:t>Аргументи на користь зосередження уваги на підлітках</w:t>
      </w:r>
      <w:bookmarkStart w:id="2" w:name="_Toc468797234"/>
      <w:bookmarkEnd w:id="2"/>
    </w:p>
    <w:p w:rsidR="00A007F8" w:rsidRPr="009B439F" w:rsidRDefault="00A007F8" w:rsidP="00A007F8">
      <w:pPr>
        <w:pStyle w:val="SingleTxtGR"/>
        <w:rPr>
          <w:lang w:val="uk-UA"/>
        </w:rPr>
      </w:pPr>
      <w:r w:rsidRPr="009B439F">
        <w:rPr>
          <w:lang w:val="uk-UA"/>
        </w:rPr>
        <w:t>8.</w:t>
      </w:r>
      <w:r w:rsidRPr="009B439F">
        <w:rPr>
          <w:lang w:val="uk-UA"/>
        </w:rPr>
        <w:tab/>
      </w:r>
      <w:r w:rsidR="007219E5" w:rsidRPr="007219E5">
        <w:rPr>
          <w:lang w:val="uk-UA"/>
        </w:rPr>
        <w:t>Комітет звертає увагу держав-учасни</w:t>
      </w:r>
      <w:r w:rsidR="007219E5">
        <w:rPr>
          <w:lang w:val="uk-UA"/>
        </w:rPr>
        <w:t xml:space="preserve">ць </w:t>
      </w:r>
      <w:r w:rsidR="007219E5" w:rsidRPr="007219E5">
        <w:rPr>
          <w:lang w:val="uk-UA"/>
        </w:rPr>
        <w:t xml:space="preserve">на вагомі аргументи на користь </w:t>
      </w:r>
      <w:r w:rsidR="007219E5">
        <w:rPr>
          <w:lang w:val="uk-UA"/>
        </w:rPr>
        <w:t xml:space="preserve">спрямування уваги на підлітків </w:t>
      </w:r>
      <w:r w:rsidR="007219E5" w:rsidRPr="007219E5">
        <w:rPr>
          <w:lang w:val="uk-UA"/>
        </w:rPr>
        <w:t>для сприяння реалізації їх</w:t>
      </w:r>
      <w:r w:rsidR="007219E5">
        <w:rPr>
          <w:lang w:val="uk-UA"/>
        </w:rPr>
        <w:t>ніх</w:t>
      </w:r>
      <w:r w:rsidR="007219E5" w:rsidRPr="007219E5">
        <w:rPr>
          <w:lang w:val="uk-UA"/>
        </w:rPr>
        <w:t xml:space="preserve"> прав, </w:t>
      </w:r>
      <w:r w:rsidR="007219E5">
        <w:rPr>
          <w:lang w:val="uk-UA"/>
        </w:rPr>
        <w:t xml:space="preserve">посилення </w:t>
      </w:r>
      <w:r w:rsidR="007219E5" w:rsidRPr="007219E5">
        <w:rPr>
          <w:lang w:val="uk-UA"/>
        </w:rPr>
        <w:t>їх п</w:t>
      </w:r>
      <w:r w:rsidR="007219E5">
        <w:rPr>
          <w:lang w:val="uk-UA"/>
        </w:rPr>
        <w:t>отенційного внеску в позитивні й</w:t>
      </w:r>
      <w:r w:rsidR="007219E5" w:rsidRPr="007219E5">
        <w:rPr>
          <w:lang w:val="uk-UA"/>
        </w:rPr>
        <w:t xml:space="preserve"> прогресивні соціальні перетворення</w:t>
      </w:r>
      <w:r w:rsidR="007219E5">
        <w:rPr>
          <w:lang w:val="uk-UA"/>
        </w:rPr>
        <w:t xml:space="preserve">, а також </w:t>
      </w:r>
      <w:r w:rsidR="007219E5" w:rsidRPr="007219E5">
        <w:rPr>
          <w:lang w:val="uk-UA"/>
        </w:rPr>
        <w:t xml:space="preserve">подолання проблем, з якими вони стикаються в процесі переходу від дитинства до дорослого життя в умовах </w:t>
      </w:r>
      <w:r w:rsidR="007219E5">
        <w:rPr>
          <w:lang w:val="uk-UA"/>
        </w:rPr>
        <w:t>зростаючої глобалізації та складності світу</w:t>
      </w:r>
      <w:r w:rsidRPr="009B439F">
        <w:rPr>
          <w:lang w:val="uk-UA"/>
        </w:rPr>
        <w:t>.</w:t>
      </w:r>
    </w:p>
    <w:p w:rsidR="00A007F8" w:rsidRPr="009B439F" w:rsidRDefault="00A007F8" w:rsidP="00A007F8">
      <w:pPr>
        <w:pStyle w:val="SingleTxtGR"/>
        <w:rPr>
          <w:lang w:val="uk-UA"/>
        </w:rPr>
      </w:pPr>
      <w:r w:rsidRPr="009B439F">
        <w:rPr>
          <w:lang w:val="uk-UA"/>
        </w:rPr>
        <w:t>9.</w:t>
      </w:r>
      <w:r w:rsidRPr="009B439F">
        <w:rPr>
          <w:lang w:val="uk-UA"/>
        </w:rPr>
        <w:tab/>
      </w:r>
      <w:r w:rsidR="00D35F5A" w:rsidRPr="00D35F5A">
        <w:rPr>
          <w:lang w:val="uk-UA"/>
        </w:rPr>
        <w:t xml:space="preserve">Підлітки </w:t>
      </w:r>
      <w:r w:rsidR="00D35F5A">
        <w:rPr>
          <w:lang w:val="uk-UA"/>
        </w:rPr>
        <w:t>долають крутий віраж розвитку. Значення змін, пов’</w:t>
      </w:r>
      <w:r w:rsidR="00D35F5A" w:rsidRPr="00D35F5A">
        <w:rPr>
          <w:lang w:val="uk-UA"/>
        </w:rPr>
        <w:t xml:space="preserve">язаних з розвитком в підлітковому віці, поки не </w:t>
      </w:r>
      <w:r w:rsidR="00D35F5A">
        <w:rPr>
          <w:lang w:val="uk-UA"/>
        </w:rPr>
        <w:t>знайшло такого широкого розуміння, як розвиток у</w:t>
      </w:r>
      <w:r w:rsidR="00D35F5A" w:rsidRPr="00D35F5A">
        <w:rPr>
          <w:lang w:val="uk-UA"/>
        </w:rPr>
        <w:t xml:space="preserve"> ранньому віці. </w:t>
      </w:r>
      <w:r w:rsidR="00D35F5A">
        <w:rPr>
          <w:lang w:val="uk-UA"/>
        </w:rPr>
        <w:t xml:space="preserve">Цей вік – унікальний </w:t>
      </w:r>
      <w:r w:rsidR="00D35F5A" w:rsidRPr="00D35F5A">
        <w:rPr>
          <w:lang w:val="uk-UA"/>
        </w:rPr>
        <w:t xml:space="preserve">визначальний етап </w:t>
      </w:r>
      <w:r w:rsidR="00D35F5A">
        <w:rPr>
          <w:lang w:val="uk-UA"/>
        </w:rPr>
        <w:t>людського розвитку</w:t>
      </w:r>
      <w:r w:rsidR="00D35F5A" w:rsidRPr="00D35F5A">
        <w:rPr>
          <w:lang w:val="uk-UA"/>
        </w:rPr>
        <w:t xml:space="preserve">, що характеризується швидким розвитком </w:t>
      </w:r>
      <w:r w:rsidR="00D35F5A">
        <w:rPr>
          <w:lang w:val="uk-UA"/>
        </w:rPr>
        <w:t xml:space="preserve">мозку </w:t>
      </w:r>
      <w:r w:rsidR="00D35F5A" w:rsidRPr="00D35F5A">
        <w:rPr>
          <w:lang w:val="uk-UA"/>
        </w:rPr>
        <w:t xml:space="preserve">і фізичним </w:t>
      </w:r>
      <w:r w:rsidR="00D35F5A">
        <w:rPr>
          <w:lang w:val="uk-UA"/>
        </w:rPr>
        <w:t>ростом</w:t>
      </w:r>
      <w:r w:rsidR="00D35F5A" w:rsidRPr="00D35F5A">
        <w:rPr>
          <w:lang w:val="uk-UA"/>
        </w:rPr>
        <w:t xml:space="preserve">, </w:t>
      </w:r>
      <w:r w:rsidR="00D35F5A">
        <w:rPr>
          <w:lang w:val="uk-UA"/>
        </w:rPr>
        <w:t xml:space="preserve">підвищеною </w:t>
      </w:r>
      <w:r w:rsidR="00D35F5A" w:rsidRPr="00D35F5A">
        <w:rPr>
          <w:lang w:val="uk-UA"/>
        </w:rPr>
        <w:t xml:space="preserve">пізнавальною здатністю, початком статевого дозрівання і </w:t>
      </w:r>
      <w:r w:rsidR="00D35F5A" w:rsidRPr="00D35F5A">
        <w:rPr>
          <w:lang w:val="uk-UA"/>
        </w:rPr>
        <w:lastRenderedPageBreak/>
        <w:t>сексуальної обізнаності</w:t>
      </w:r>
      <w:r w:rsidR="00D35F5A">
        <w:rPr>
          <w:lang w:val="uk-UA"/>
        </w:rPr>
        <w:t xml:space="preserve">, а також </w:t>
      </w:r>
      <w:r w:rsidR="00D35F5A" w:rsidRPr="00D35F5A">
        <w:rPr>
          <w:lang w:val="uk-UA"/>
        </w:rPr>
        <w:t xml:space="preserve">виникненням нових можливостей, переваг і навичок. </w:t>
      </w:r>
      <w:r w:rsidR="00D35F5A">
        <w:rPr>
          <w:lang w:val="uk-UA"/>
        </w:rPr>
        <w:t>В процесі переходу від залежності до більшої самостійності, п</w:t>
      </w:r>
      <w:r w:rsidR="00D35F5A" w:rsidRPr="00D35F5A">
        <w:rPr>
          <w:lang w:val="uk-UA"/>
        </w:rPr>
        <w:t xml:space="preserve">ідлітки </w:t>
      </w:r>
      <w:r w:rsidR="00D35F5A">
        <w:rPr>
          <w:lang w:val="uk-UA"/>
        </w:rPr>
        <w:t xml:space="preserve">мають підвищені </w:t>
      </w:r>
      <w:r w:rsidR="00D35F5A" w:rsidRPr="00D35F5A">
        <w:rPr>
          <w:lang w:val="uk-UA"/>
        </w:rPr>
        <w:t>очікування</w:t>
      </w:r>
      <w:r w:rsidR="00D35F5A">
        <w:rPr>
          <w:lang w:val="uk-UA"/>
        </w:rPr>
        <w:t xml:space="preserve"> щодо своєї ролі у суспільстві та надають більшого значення стосункам з однолітками</w:t>
      </w:r>
      <w:r w:rsidRPr="009B439F">
        <w:rPr>
          <w:lang w:val="uk-UA"/>
        </w:rPr>
        <w:t>.</w:t>
      </w:r>
    </w:p>
    <w:p w:rsidR="00202681" w:rsidRDefault="00A007F8" w:rsidP="00A007F8">
      <w:pPr>
        <w:pStyle w:val="SingleTxtGR"/>
        <w:rPr>
          <w:lang w:val="uk-UA"/>
        </w:rPr>
      </w:pPr>
      <w:r w:rsidRPr="009B439F">
        <w:rPr>
          <w:lang w:val="uk-UA"/>
        </w:rPr>
        <w:t>10.</w:t>
      </w:r>
      <w:r w:rsidRPr="009B439F">
        <w:rPr>
          <w:lang w:val="uk-UA"/>
        </w:rPr>
        <w:tab/>
      </w:r>
      <w:r w:rsidR="00202681">
        <w:rPr>
          <w:lang w:val="uk-UA"/>
        </w:rPr>
        <w:t>Увійшовши в друге десятиліття свого життя,</w:t>
      </w:r>
      <w:r w:rsidR="00202681" w:rsidRPr="00202681">
        <w:rPr>
          <w:lang w:val="uk-UA"/>
        </w:rPr>
        <w:t xml:space="preserve"> діти починають </w:t>
      </w:r>
      <w:r w:rsidR="00202681">
        <w:rPr>
          <w:lang w:val="uk-UA"/>
        </w:rPr>
        <w:t xml:space="preserve">досліджувати </w:t>
      </w:r>
      <w:r w:rsidR="00202681" w:rsidRPr="00202681">
        <w:rPr>
          <w:lang w:val="uk-UA"/>
        </w:rPr>
        <w:t xml:space="preserve">і формувати </w:t>
      </w:r>
      <w:r w:rsidR="00202681">
        <w:rPr>
          <w:lang w:val="uk-UA"/>
        </w:rPr>
        <w:t>свою особисту і колективну ідентичність</w:t>
      </w:r>
      <w:r w:rsidR="00202681" w:rsidRPr="00202681">
        <w:rPr>
          <w:lang w:val="uk-UA"/>
        </w:rPr>
        <w:t xml:space="preserve"> на основі складно</w:t>
      </w:r>
      <w:r w:rsidR="00202681">
        <w:rPr>
          <w:lang w:val="uk-UA"/>
        </w:rPr>
        <w:t xml:space="preserve">ї </w:t>
      </w:r>
      <w:r w:rsidR="00202681" w:rsidRPr="00202681">
        <w:rPr>
          <w:lang w:val="uk-UA"/>
        </w:rPr>
        <w:t>сімейно</w:t>
      </w:r>
      <w:r w:rsidR="00202681">
        <w:rPr>
          <w:lang w:val="uk-UA"/>
        </w:rPr>
        <w:t xml:space="preserve">ї </w:t>
      </w:r>
      <w:r w:rsidR="00202681" w:rsidRPr="00202681">
        <w:rPr>
          <w:lang w:val="uk-UA"/>
        </w:rPr>
        <w:t>та культурно-історичного взаємодії</w:t>
      </w:r>
      <w:r w:rsidR="00202681">
        <w:rPr>
          <w:lang w:val="uk-UA"/>
        </w:rPr>
        <w:t xml:space="preserve">, </w:t>
      </w:r>
      <w:r w:rsidR="00202681" w:rsidRPr="00202681">
        <w:rPr>
          <w:lang w:val="uk-UA"/>
        </w:rPr>
        <w:t xml:space="preserve">і переживають виникнення </w:t>
      </w:r>
      <w:r w:rsidR="00202681">
        <w:rPr>
          <w:lang w:val="uk-UA"/>
        </w:rPr>
        <w:t>відчуття власного «я», що</w:t>
      </w:r>
      <w:r w:rsidR="00202681" w:rsidRPr="00202681">
        <w:rPr>
          <w:lang w:val="uk-UA"/>
        </w:rPr>
        <w:t xml:space="preserve"> часто </w:t>
      </w:r>
      <w:r w:rsidR="00202681">
        <w:rPr>
          <w:lang w:val="uk-UA"/>
        </w:rPr>
        <w:t>виражається у</w:t>
      </w:r>
      <w:r w:rsidR="00202681" w:rsidRPr="00202681">
        <w:rPr>
          <w:lang w:val="uk-UA"/>
        </w:rPr>
        <w:t xml:space="preserve"> мові, мистецтві та культурі як на індивідуальному рівні, так і в </w:t>
      </w:r>
      <w:r w:rsidR="00202681">
        <w:rPr>
          <w:lang w:val="uk-UA"/>
        </w:rPr>
        <w:t xml:space="preserve">контактах </w:t>
      </w:r>
      <w:r w:rsidR="00202681" w:rsidRPr="00202681">
        <w:rPr>
          <w:lang w:val="uk-UA"/>
        </w:rPr>
        <w:t>з</w:t>
      </w:r>
      <w:r w:rsidR="00202681">
        <w:rPr>
          <w:lang w:val="uk-UA"/>
        </w:rPr>
        <w:t xml:space="preserve"> </w:t>
      </w:r>
      <w:r w:rsidR="00202681" w:rsidRPr="00202681">
        <w:rPr>
          <w:lang w:val="uk-UA"/>
        </w:rPr>
        <w:t xml:space="preserve">однолітками. Для багатьох цей процес відбувається </w:t>
      </w:r>
      <w:r w:rsidR="00202681">
        <w:rPr>
          <w:lang w:val="uk-UA"/>
        </w:rPr>
        <w:t>на тлі взаємодії з цифровим середовищем, що значною мірою визначає і впливає на підлітків</w:t>
      </w:r>
      <w:r w:rsidR="00202681" w:rsidRPr="00202681">
        <w:rPr>
          <w:lang w:val="uk-UA"/>
        </w:rPr>
        <w:t xml:space="preserve">. </w:t>
      </w:r>
      <w:r w:rsidR="00202681">
        <w:rPr>
          <w:lang w:val="uk-UA"/>
        </w:rPr>
        <w:t xml:space="preserve">Процес формування та проявів власної </w:t>
      </w:r>
      <w:r w:rsidR="00202681" w:rsidRPr="00202681">
        <w:rPr>
          <w:lang w:val="uk-UA"/>
        </w:rPr>
        <w:t xml:space="preserve">самобутності </w:t>
      </w:r>
      <w:r w:rsidR="00202681">
        <w:rPr>
          <w:lang w:val="uk-UA"/>
        </w:rPr>
        <w:t xml:space="preserve">для підлітків </w:t>
      </w:r>
      <w:r w:rsidR="00202681" w:rsidRPr="00202681">
        <w:rPr>
          <w:lang w:val="uk-UA"/>
        </w:rPr>
        <w:t>є особливо складним</w:t>
      </w:r>
      <w:r w:rsidR="00202681">
        <w:rPr>
          <w:lang w:val="uk-UA"/>
        </w:rPr>
        <w:t xml:space="preserve">, адже </w:t>
      </w:r>
      <w:r w:rsidR="00202681" w:rsidRPr="00202681">
        <w:rPr>
          <w:lang w:val="uk-UA"/>
        </w:rPr>
        <w:t xml:space="preserve">вони прокладають стежку, </w:t>
      </w:r>
      <w:r w:rsidR="00202681">
        <w:rPr>
          <w:lang w:val="uk-UA"/>
        </w:rPr>
        <w:t xml:space="preserve">що з’єднує неповноліття </w:t>
      </w:r>
      <w:r w:rsidR="00202681" w:rsidRPr="00202681">
        <w:rPr>
          <w:lang w:val="uk-UA"/>
        </w:rPr>
        <w:t xml:space="preserve">з культурою, </w:t>
      </w:r>
      <w:r w:rsidR="00202681">
        <w:rPr>
          <w:lang w:val="uk-UA"/>
        </w:rPr>
        <w:t>що</w:t>
      </w:r>
      <w:r w:rsidR="00202681" w:rsidRPr="00202681">
        <w:rPr>
          <w:lang w:val="uk-UA"/>
        </w:rPr>
        <w:t xml:space="preserve"> панує в суспільстві</w:t>
      </w:r>
      <w:r w:rsidR="00202681">
        <w:rPr>
          <w:lang w:val="uk-UA"/>
        </w:rPr>
        <w:t xml:space="preserve"> </w:t>
      </w:r>
    </w:p>
    <w:p w:rsidR="00A007F8" w:rsidRPr="00202681" w:rsidRDefault="00A007F8" w:rsidP="0067613A">
      <w:pPr>
        <w:pStyle w:val="H23GR"/>
        <w:rPr>
          <w:lang w:val="uk-UA"/>
        </w:rPr>
      </w:pPr>
      <w:r w:rsidRPr="00A007F8">
        <w:tab/>
      </w:r>
      <w:r w:rsidRPr="00A007F8">
        <w:tab/>
      </w:r>
      <w:r w:rsidR="00202681">
        <w:rPr>
          <w:lang w:val="uk-UA"/>
        </w:rPr>
        <w:t>Визнання підліткового віку частиною життєвого шляху</w:t>
      </w:r>
    </w:p>
    <w:p w:rsidR="00202681" w:rsidRDefault="0067613A" w:rsidP="00A007F8">
      <w:pPr>
        <w:pStyle w:val="SingleTxtGR"/>
        <w:rPr>
          <w:lang w:val="uk-UA"/>
        </w:rPr>
      </w:pPr>
      <w:r w:rsidRPr="00202681">
        <w:rPr>
          <w:lang w:val="uk-UA"/>
        </w:rPr>
        <w:t>11.</w:t>
      </w:r>
      <w:r w:rsidRPr="00202681">
        <w:rPr>
          <w:lang w:val="uk-UA"/>
        </w:rPr>
        <w:tab/>
      </w:r>
      <w:r w:rsidR="00202681" w:rsidRPr="00202681">
        <w:rPr>
          <w:lang w:val="uk-UA"/>
        </w:rPr>
        <w:t xml:space="preserve">Для забезпечення оптимального розвитку кожної </w:t>
      </w:r>
      <w:r w:rsidR="00202681">
        <w:rPr>
          <w:lang w:val="uk-UA"/>
        </w:rPr>
        <w:t xml:space="preserve">дитини </w:t>
      </w:r>
      <w:r w:rsidR="00202681" w:rsidRPr="00202681">
        <w:rPr>
          <w:lang w:val="uk-UA"/>
        </w:rPr>
        <w:t xml:space="preserve">протягом </w:t>
      </w:r>
      <w:r w:rsidR="00202681">
        <w:rPr>
          <w:lang w:val="uk-UA"/>
        </w:rPr>
        <w:t xml:space="preserve">усього </w:t>
      </w:r>
      <w:r w:rsidR="00202681" w:rsidRPr="00202681">
        <w:rPr>
          <w:lang w:val="uk-UA"/>
        </w:rPr>
        <w:t>дитинства</w:t>
      </w:r>
      <w:r w:rsidR="00202681">
        <w:rPr>
          <w:lang w:val="uk-UA"/>
        </w:rPr>
        <w:t>,</w:t>
      </w:r>
      <w:r w:rsidR="00202681" w:rsidRPr="00202681">
        <w:rPr>
          <w:lang w:val="uk-UA"/>
        </w:rPr>
        <w:t xml:space="preserve"> необхідно визнати вплив кожного періоду життя на наступні етапи. </w:t>
      </w:r>
      <w:r w:rsidR="00202681">
        <w:rPr>
          <w:lang w:val="uk-UA"/>
        </w:rPr>
        <w:t>С</w:t>
      </w:r>
      <w:r w:rsidR="00202681" w:rsidRPr="00202681">
        <w:rPr>
          <w:lang w:val="uk-UA"/>
        </w:rPr>
        <w:t>ам по собі цінни</w:t>
      </w:r>
      <w:r w:rsidR="00202681">
        <w:rPr>
          <w:lang w:val="uk-UA"/>
        </w:rPr>
        <w:t>й</w:t>
      </w:r>
      <w:r w:rsidR="00202681" w:rsidRPr="00202681">
        <w:rPr>
          <w:lang w:val="uk-UA"/>
        </w:rPr>
        <w:t xml:space="preserve"> період дитинства, </w:t>
      </w:r>
      <w:r w:rsidR="00202681">
        <w:rPr>
          <w:lang w:val="uk-UA"/>
        </w:rPr>
        <w:t xml:space="preserve">підлітковий вік також являється визначальним </w:t>
      </w:r>
      <w:r w:rsidR="00202681" w:rsidRPr="00202681">
        <w:rPr>
          <w:lang w:val="uk-UA"/>
        </w:rPr>
        <w:t xml:space="preserve">перехідним періодом </w:t>
      </w:r>
      <w:r w:rsidR="00202681">
        <w:rPr>
          <w:lang w:val="uk-UA"/>
        </w:rPr>
        <w:t xml:space="preserve">та </w:t>
      </w:r>
      <w:r w:rsidR="00202681" w:rsidRPr="00202681">
        <w:rPr>
          <w:lang w:val="uk-UA"/>
        </w:rPr>
        <w:t>можливістю поліпшити життєві перспективи. Позитивн</w:t>
      </w:r>
      <w:r w:rsidR="00202681">
        <w:rPr>
          <w:lang w:val="uk-UA"/>
        </w:rPr>
        <w:t xml:space="preserve">і втручання та досвід у </w:t>
      </w:r>
      <w:r w:rsidR="00202681" w:rsidRPr="00202681">
        <w:rPr>
          <w:lang w:val="uk-UA"/>
        </w:rPr>
        <w:t xml:space="preserve">ранньому дитинстві сприяють оптимальному розвитку </w:t>
      </w:r>
      <w:r w:rsidR="00202681">
        <w:rPr>
          <w:lang w:val="uk-UA"/>
        </w:rPr>
        <w:t xml:space="preserve">при </w:t>
      </w:r>
      <w:r w:rsidR="00202681" w:rsidRPr="00202681">
        <w:rPr>
          <w:lang w:val="uk-UA"/>
        </w:rPr>
        <w:t>перетворенн</w:t>
      </w:r>
      <w:r w:rsidR="00202681">
        <w:rPr>
          <w:lang w:val="uk-UA"/>
        </w:rPr>
        <w:t>і маленьких дітей на</w:t>
      </w:r>
      <w:r w:rsidR="00202681" w:rsidRPr="00202681">
        <w:rPr>
          <w:lang w:val="uk-UA"/>
        </w:rPr>
        <w:t xml:space="preserve"> підлітків</w:t>
      </w:r>
      <w:r w:rsidR="00202681" w:rsidRPr="00202681">
        <w:rPr>
          <w:sz w:val="18"/>
          <w:vertAlign w:val="superscript"/>
          <w:lang w:val="uk-UA"/>
        </w:rPr>
        <w:footnoteReference w:id="2"/>
      </w:r>
      <w:r w:rsidR="00202681" w:rsidRPr="00202681">
        <w:rPr>
          <w:lang w:val="uk-UA"/>
        </w:rPr>
        <w:t xml:space="preserve">. </w:t>
      </w:r>
      <w:r w:rsidR="00202681">
        <w:rPr>
          <w:lang w:val="uk-UA"/>
        </w:rPr>
        <w:t xml:space="preserve">Проте </w:t>
      </w:r>
      <w:r w:rsidR="00202681" w:rsidRPr="00202681">
        <w:rPr>
          <w:lang w:val="uk-UA"/>
        </w:rPr>
        <w:t xml:space="preserve">будь-які інвестиції в молодих людей можуть бути витрачені марно, якщо </w:t>
      </w:r>
      <w:r w:rsidR="00202681">
        <w:rPr>
          <w:lang w:val="uk-UA"/>
        </w:rPr>
        <w:t>не приділяти належної уваги їхнім правам</w:t>
      </w:r>
      <w:r w:rsidR="00202681" w:rsidRPr="00202681">
        <w:rPr>
          <w:lang w:val="uk-UA"/>
        </w:rPr>
        <w:t xml:space="preserve"> </w:t>
      </w:r>
      <w:r w:rsidR="00202681">
        <w:rPr>
          <w:lang w:val="uk-UA"/>
        </w:rPr>
        <w:t>впродовж підліткового періоду</w:t>
      </w:r>
      <w:r w:rsidR="00202681" w:rsidRPr="00202681">
        <w:rPr>
          <w:lang w:val="uk-UA"/>
        </w:rPr>
        <w:t xml:space="preserve">. Крім того, позитивні і сприятливі можливості </w:t>
      </w:r>
      <w:r w:rsidR="00202681">
        <w:rPr>
          <w:lang w:val="uk-UA"/>
        </w:rPr>
        <w:t xml:space="preserve">у цьому </w:t>
      </w:r>
      <w:r w:rsidR="00202681" w:rsidRPr="00202681">
        <w:rPr>
          <w:lang w:val="uk-UA"/>
        </w:rPr>
        <w:t xml:space="preserve">віці можуть бути використані </w:t>
      </w:r>
      <w:r w:rsidR="00202681">
        <w:rPr>
          <w:lang w:val="uk-UA"/>
        </w:rPr>
        <w:t xml:space="preserve">для нейтралізації </w:t>
      </w:r>
      <w:r w:rsidR="00202681" w:rsidRPr="00202681">
        <w:rPr>
          <w:lang w:val="uk-UA"/>
        </w:rPr>
        <w:t xml:space="preserve">деяких наслідків шкоди, заподіяної в ранньому дитинстві, </w:t>
      </w:r>
      <w:r w:rsidR="00202681">
        <w:rPr>
          <w:lang w:val="uk-UA"/>
        </w:rPr>
        <w:t xml:space="preserve">а також для посилення </w:t>
      </w:r>
      <w:r w:rsidR="00202681" w:rsidRPr="00202681">
        <w:rPr>
          <w:lang w:val="uk-UA"/>
        </w:rPr>
        <w:t xml:space="preserve">стійкості </w:t>
      </w:r>
      <w:r w:rsidR="00202681">
        <w:rPr>
          <w:lang w:val="uk-UA"/>
        </w:rPr>
        <w:t>з метою пом’</w:t>
      </w:r>
      <w:r w:rsidR="00202681" w:rsidRPr="00202681">
        <w:rPr>
          <w:lang w:val="uk-UA"/>
        </w:rPr>
        <w:t xml:space="preserve">якшення шкоди в майбутньому. </w:t>
      </w:r>
      <w:r w:rsidR="00202681">
        <w:rPr>
          <w:lang w:val="uk-UA"/>
        </w:rPr>
        <w:t xml:space="preserve">Тож </w:t>
      </w:r>
      <w:r w:rsidR="00202681" w:rsidRPr="00202681">
        <w:rPr>
          <w:lang w:val="uk-UA"/>
        </w:rPr>
        <w:t>Комітет підкреслює важливість наявності перспектив</w:t>
      </w:r>
      <w:r w:rsidR="00202681">
        <w:rPr>
          <w:lang w:val="uk-UA"/>
        </w:rPr>
        <w:t xml:space="preserve"> </w:t>
      </w:r>
      <w:r w:rsidR="00202681" w:rsidRPr="00202681">
        <w:rPr>
          <w:lang w:val="uk-UA"/>
        </w:rPr>
        <w:t xml:space="preserve"> протягом усього життєвого шляху</w:t>
      </w:r>
      <w:r w:rsidR="00202681">
        <w:rPr>
          <w:lang w:val="uk-UA"/>
        </w:rPr>
        <w:t xml:space="preserve">. </w:t>
      </w:r>
    </w:p>
    <w:p w:rsidR="00A007F8" w:rsidRPr="00202681" w:rsidRDefault="00202681" w:rsidP="0067613A">
      <w:pPr>
        <w:pStyle w:val="H23G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Складні умови</w:t>
      </w:r>
    </w:p>
    <w:p w:rsidR="00202681" w:rsidRDefault="00A007F8" w:rsidP="00A007F8">
      <w:pPr>
        <w:pStyle w:val="SingleTxtGR"/>
        <w:rPr>
          <w:lang w:val="uk-UA"/>
        </w:rPr>
      </w:pPr>
      <w:r w:rsidRPr="00202681">
        <w:rPr>
          <w:lang w:val="uk-UA"/>
        </w:rPr>
        <w:t>12.</w:t>
      </w:r>
      <w:r w:rsidRPr="00202681">
        <w:rPr>
          <w:lang w:val="uk-UA"/>
        </w:rPr>
        <w:tab/>
      </w:r>
      <w:r w:rsidR="00202681" w:rsidRPr="00202681">
        <w:rPr>
          <w:lang w:val="uk-UA"/>
        </w:rPr>
        <w:t>Досяг</w:t>
      </w:r>
      <w:r w:rsidR="00202681">
        <w:rPr>
          <w:lang w:val="uk-UA"/>
        </w:rPr>
        <w:t xml:space="preserve">аючи </w:t>
      </w:r>
      <w:r w:rsidR="00202681" w:rsidRPr="00202681">
        <w:rPr>
          <w:lang w:val="uk-UA"/>
        </w:rPr>
        <w:t>підліткового віку</w:t>
      </w:r>
      <w:r w:rsidR="00202681">
        <w:rPr>
          <w:lang w:val="uk-UA"/>
        </w:rPr>
        <w:t>, дитина може наражатися на різноманітні ризики</w:t>
      </w:r>
      <w:r w:rsidR="00202681" w:rsidRPr="00202681">
        <w:rPr>
          <w:lang w:val="uk-UA"/>
        </w:rPr>
        <w:t xml:space="preserve">, </w:t>
      </w:r>
      <w:r w:rsidR="00202681">
        <w:rPr>
          <w:lang w:val="uk-UA"/>
        </w:rPr>
        <w:t xml:space="preserve">що </w:t>
      </w:r>
      <w:r w:rsidR="00202681" w:rsidRPr="00202681">
        <w:rPr>
          <w:lang w:val="uk-UA"/>
        </w:rPr>
        <w:t xml:space="preserve">підсилюються </w:t>
      </w:r>
      <w:r w:rsidR="00202681">
        <w:rPr>
          <w:lang w:val="uk-UA"/>
        </w:rPr>
        <w:t xml:space="preserve">чи поглиблюються </w:t>
      </w:r>
      <w:r w:rsidR="00202681" w:rsidRPr="00202681">
        <w:rPr>
          <w:lang w:val="uk-UA"/>
        </w:rPr>
        <w:t>цифрови</w:t>
      </w:r>
      <w:r w:rsidR="00202681">
        <w:rPr>
          <w:lang w:val="uk-UA"/>
        </w:rPr>
        <w:t>м</w:t>
      </w:r>
      <w:r w:rsidR="00202681" w:rsidRPr="00202681">
        <w:rPr>
          <w:lang w:val="uk-UA"/>
        </w:rPr>
        <w:t xml:space="preserve"> середовищем, </w:t>
      </w:r>
      <w:r w:rsidR="00202681">
        <w:rPr>
          <w:lang w:val="uk-UA"/>
        </w:rPr>
        <w:t>а саме вживання психоактивних речовин та наркотична залежність, насильство і наруга</w:t>
      </w:r>
      <w:r w:rsidR="00202681" w:rsidRPr="00202681">
        <w:rPr>
          <w:lang w:val="uk-UA"/>
        </w:rPr>
        <w:t>, сексуальн</w:t>
      </w:r>
      <w:r w:rsidR="00202681">
        <w:rPr>
          <w:lang w:val="uk-UA"/>
        </w:rPr>
        <w:t xml:space="preserve">а чи </w:t>
      </w:r>
      <w:r w:rsidR="00202681" w:rsidRPr="00202681">
        <w:rPr>
          <w:lang w:val="uk-UA"/>
        </w:rPr>
        <w:t>економічн</w:t>
      </w:r>
      <w:r w:rsidR="00202681">
        <w:rPr>
          <w:lang w:val="uk-UA"/>
        </w:rPr>
        <w:t>а експлуатація, торгівля</w:t>
      </w:r>
      <w:r w:rsidR="00202681" w:rsidRPr="00202681">
        <w:rPr>
          <w:lang w:val="uk-UA"/>
        </w:rPr>
        <w:t xml:space="preserve"> людьми, мігр</w:t>
      </w:r>
      <w:r w:rsidR="00202681">
        <w:rPr>
          <w:lang w:val="uk-UA"/>
        </w:rPr>
        <w:t>ація, радикалізація</w:t>
      </w:r>
      <w:r w:rsidR="00202681" w:rsidRPr="00202681">
        <w:rPr>
          <w:lang w:val="uk-UA"/>
        </w:rPr>
        <w:t xml:space="preserve"> та верб</w:t>
      </w:r>
      <w:r w:rsidR="00202681">
        <w:rPr>
          <w:lang w:val="uk-UA"/>
        </w:rPr>
        <w:t>овка в банди або збройні формування</w:t>
      </w:r>
      <w:r w:rsidR="00202681" w:rsidRPr="00202681">
        <w:rPr>
          <w:lang w:val="uk-UA"/>
        </w:rPr>
        <w:t xml:space="preserve">. </w:t>
      </w:r>
      <w:r w:rsidR="00202681">
        <w:rPr>
          <w:lang w:val="uk-UA"/>
        </w:rPr>
        <w:t xml:space="preserve">По мірі </w:t>
      </w:r>
      <w:r w:rsidR="00202681" w:rsidRPr="00202681">
        <w:rPr>
          <w:lang w:val="uk-UA"/>
        </w:rPr>
        <w:t xml:space="preserve">наближення дорослого </w:t>
      </w:r>
      <w:r w:rsidR="00202681">
        <w:rPr>
          <w:lang w:val="uk-UA"/>
        </w:rPr>
        <w:t xml:space="preserve">життя, </w:t>
      </w:r>
      <w:r w:rsidR="00202681" w:rsidRPr="00202681">
        <w:rPr>
          <w:lang w:val="uk-UA"/>
        </w:rPr>
        <w:t>підлітк</w:t>
      </w:r>
      <w:r w:rsidR="00202681">
        <w:rPr>
          <w:lang w:val="uk-UA"/>
        </w:rPr>
        <w:t xml:space="preserve">и потребують відповідної освіти і підтримки для долання </w:t>
      </w:r>
      <w:r w:rsidR="00202681" w:rsidRPr="00202681">
        <w:rPr>
          <w:lang w:val="uk-UA"/>
        </w:rPr>
        <w:t xml:space="preserve">місцевих і глобальних проблем, </w:t>
      </w:r>
      <w:r w:rsidR="00202681">
        <w:rPr>
          <w:lang w:val="uk-UA"/>
        </w:rPr>
        <w:t xml:space="preserve">таких, як </w:t>
      </w:r>
      <w:r w:rsidR="00202681" w:rsidRPr="00202681">
        <w:rPr>
          <w:lang w:val="uk-UA"/>
        </w:rPr>
        <w:t>бідність і нерівність, дискримінаці</w:t>
      </w:r>
      <w:r w:rsidR="00202681">
        <w:rPr>
          <w:lang w:val="uk-UA"/>
        </w:rPr>
        <w:t>я</w:t>
      </w:r>
      <w:r w:rsidR="00202681" w:rsidRPr="00202681">
        <w:rPr>
          <w:lang w:val="uk-UA"/>
        </w:rPr>
        <w:t>, зміна клімату та погіршення стану навко</w:t>
      </w:r>
      <w:r w:rsidR="00202681">
        <w:rPr>
          <w:lang w:val="uk-UA"/>
        </w:rPr>
        <w:t>лишнього середовища, урбанізація та міграція</w:t>
      </w:r>
      <w:r w:rsidR="00202681" w:rsidRPr="00202681">
        <w:rPr>
          <w:lang w:val="uk-UA"/>
        </w:rPr>
        <w:t xml:space="preserve">, старіння суспільства, </w:t>
      </w:r>
      <w:r w:rsidR="00202681">
        <w:rPr>
          <w:lang w:val="uk-UA"/>
        </w:rPr>
        <w:t xml:space="preserve">вимоги щодо </w:t>
      </w:r>
      <w:r w:rsidR="00202681" w:rsidRPr="00202681">
        <w:rPr>
          <w:lang w:val="uk-UA"/>
        </w:rPr>
        <w:t>гарного навчання в школі</w:t>
      </w:r>
      <w:r w:rsidR="00202681">
        <w:rPr>
          <w:lang w:val="uk-UA"/>
        </w:rPr>
        <w:t xml:space="preserve">, а також гуманітарні й безпекові кризи, що </w:t>
      </w:r>
      <w:r w:rsidR="00202681" w:rsidRPr="00202681">
        <w:rPr>
          <w:lang w:val="uk-UA"/>
        </w:rPr>
        <w:t xml:space="preserve">набувають </w:t>
      </w:r>
      <w:r w:rsidR="00202681">
        <w:rPr>
          <w:lang w:val="uk-UA"/>
        </w:rPr>
        <w:t>дедалі гострішого характеру</w:t>
      </w:r>
      <w:r w:rsidR="00202681" w:rsidRPr="00202681">
        <w:rPr>
          <w:lang w:val="uk-UA"/>
        </w:rPr>
        <w:t xml:space="preserve">. </w:t>
      </w:r>
      <w:r w:rsidR="00202681">
        <w:rPr>
          <w:lang w:val="uk-UA"/>
        </w:rPr>
        <w:t>Унаслідок зростання глобальної міграції, д</w:t>
      </w:r>
      <w:r w:rsidR="00202681" w:rsidRPr="00202681">
        <w:rPr>
          <w:lang w:val="uk-UA"/>
        </w:rPr>
        <w:t xml:space="preserve">орослішання в більш різнорідних і багатоетнічних суспільствах також вимагає </w:t>
      </w:r>
      <w:r w:rsidR="00202681">
        <w:rPr>
          <w:lang w:val="uk-UA"/>
        </w:rPr>
        <w:t xml:space="preserve">додаткових зусиль </w:t>
      </w:r>
      <w:r w:rsidR="00202681" w:rsidRPr="00202681">
        <w:rPr>
          <w:lang w:val="uk-UA"/>
        </w:rPr>
        <w:t>для розуміння, т</w:t>
      </w:r>
      <w:r w:rsidR="00202681">
        <w:rPr>
          <w:lang w:val="uk-UA"/>
        </w:rPr>
        <w:t xml:space="preserve">олерантності й </w:t>
      </w:r>
      <w:r w:rsidR="00202681" w:rsidRPr="00202681">
        <w:rPr>
          <w:lang w:val="uk-UA"/>
        </w:rPr>
        <w:t>співіснування. Необхідн</w:t>
      </w:r>
      <w:r w:rsidR="00202681">
        <w:rPr>
          <w:lang w:val="uk-UA"/>
        </w:rPr>
        <w:t xml:space="preserve">о інвестувати </w:t>
      </w:r>
      <w:r w:rsidR="00202681" w:rsidRPr="00202681">
        <w:rPr>
          <w:lang w:val="uk-UA"/>
        </w:rPr>
        <w:t xml:space="preserve">в заходи </w:t>
      </w:r>
      <w:r w:rsidR="0053536F">
        <w:rPr>
          <w:lang w:val="uk-UA"/>
        </w:rPr>
        <w:t xml:space="preserve">для </w:t>
      </w:r>
      <w:r w:rsidR="00202681">
        <w:rPr>
          <w:lang w:val="uk-UA"/>
        </w:rPr>
        <w:t xml:space="preserve">покращення вміння </w:t>
      </w:r>
      <w:r w:rsidR="00202681" w:rsidRPr="00202681">
        <w:rPr>
          <w:lang w:val="uk-UA"/>
        </w:rPr>
        <w:t xml:space="preserve">підлітків долати </w:t>
      </w:r>
      <w:r w:rsidR="00202681">
        <w:rPr>
          <w:lang w:val="uk-UA"/>
        </w:rPr>
        <w:t xml:space="preserve">чи пом’якшувати </w:t>
      </w:r>
      <w:r w:rsidR="00202681" w:rsidRPr="00202681">
        <w:rPr>
          <w:lang w:val="uk-UA"/>
        </w:rPr>
        <w:t xml:space="preserve">ці проблеми, </w:t>
      </w:r>
      <w:r w:rsidR="00202681">
        <w:rPr>
          <w:lang w:val="uk-UA"/>
        </w:rPr>
        <w:t xml:space="preserve">усунення соціальних чинників, що ведуть до </w:t>
      </w:r>
      <w:r w:rsidR="00202681" w:rsidRPr="00202681">
        <w:rPr>
          <w:lang w:val="uk-UA"/>
        </w:rPr>
        <w:t>виключення і маргіналізаці</w:t>
      </w:r>
      <w:r w:rsidR="00202681">
        <w:rPr>
          <w:lang w:val="uk-UA"/>
        </w:rPr>
        <w:t>ї підлітків</w:t>
      </w:r>
      <w:r w:rsidR="00202681" w:rsidRPr="00202681">
        <w:rPr>
          <w:lang w:val="uk-UA"/>
        </w:rPr>
        <w:t xml:space="preserve">, і оснащення їх усім необхідним для </w:t>
      </w:r>
      <w:r w:rsidR="00202681">
        <w:rPr>
          <w:lang w:val="uk-UA"/>
        </w:rPr>
        <w:t xml:space="preserve">того, щоб успішно протистояти складним соціальним, економічним та цифровим середовищам, що постійно змінюються. </w:t>
      </w:r>
    </w:p>
    <w:p w:rsidR="00A007F8" w:rsidRPr="00202681" w:rsidRDefault="00A007F8" w:rsidP="0067613A">
      <w:pPr>
        <w:pStyle w:val="H23GR"/>
        <w:rPr>
          <w:lang w:val="uk-UA"/>
        </w:rPr>
      </w:pPr>
      <w:r w:rsidRPr="00202681">
        <w:rPr>
          <w:lang w:val="uk-UA"/>
        </w:rPr>
        <w:lastRenderedPageBreak/>
        <w:tab/>
      </w:r>
      <w:r w:rsidRPr="00202681">
        <w:rPr>
          <w:lang w:val="uk-UA"/>
        </w:rPr>
        <w:tab/>
      </w:r>
      <w:r w:rsidR="002C7427" w:rsidRPr="00202681">
        <w:rPr>
          <w:lang w:val="uk-UA"/>
        </w:rPr>
        <w:t>Період</w:t>
      </w:r>
      <w:r w:rsidRPr="00202681">
        <w:rPr>
          <w:lang w:val="uk-UA"/>
        </w:rPr>
        <w:t xml:space="preserve"> ри</w:t>
      </w:r>
      <w:r w:rsidR="002C7427">
        <w:rPr>
          <w:lang w:val="uk-UA"/>
        </w:rPr>
        <w:t>зиків для здоров’я</w:t>
      </w:r>
    </w:p>
    <w:p w:rsidR="00A007F8" w:rsidRPr="00202681" w:rsidRDefault="002C7427" w:rsidP="00A007F8">
      <w:pPr>
        <w:pStyle w:val="SingleTxtGR"/>
        <w:rPr>
          <w:lang w:val="uk-UA"/>
        </w:rPr>
      </w:pPr>
      <w:r>
        <w:rPr>
          <w:lang w:val="uk-UA"/>
        </w:rPr>
        <w:t>13.</w:t>
      </w:r>
      <w:r>
        <w:rPr>
          <w:lang w:val="uk-UA"/>
        </w:rPr>
        <w:tab/>
        <w:t>Незважаючи на відносно нижчі показники смертності у порівнянні з іншими віковими групами, ризик смерті чи захворювання у підлітковому віці є цілком реальним</w:t>
      </w:r>
      <w:r w:rsidR="00A007F8" w:rsidRPr="00202681">
        <w:rPr>
          <w:lang w:val="uk-UA"/>
        </w:rPr>
        <w:t xml:space="preserve">, </w:t>
      </w:r>
      <w:r>
        <w:rPr>
          <w:lang w:val="uk-UA"/>
        </w:rPr>
        <w:t>у тому числі внаслідок таких причин, що піддаються попередженню, як народження дитини, небезпечні аборти</w:t>
      </w:r>
      <w:r w:rsidR="00A007F8" w:rsidRPr="00202681">
        <w:rPr>
          <w:lang w:val="uk-UA"/>
        </w:rPr>
        <w:t>, дорожн</w:t>
      </w:r>
      <w:r>
        <w:rPr>
          <w:lang w:val="uk-UA"/>
        </w:rPr>
        <w:t>ь</w:t>
      </w:r>
      <w:r w:rsidR="00A007F8" w:rsidRPr="00202681">
        <w:rPr>
          <w:lang w:val="uk-UA"/>
        </w:rPr>
        <w:t>о-транспортн</w:t>
      </w:r>
      <w:r>
        <w:rPr>
          <w:lang w:val="uk-UA"/>
        </w:rPr>
        <w:t>і пригоди</w:t>
      </w:r>
      <w:r w:rsidR="00A007F8" w:rsidRPr="00202681">
        <w:rPr>
          <w:lang w:val="uk-UA"/>
        </w:rPr>
        <w:t xml:space="preserve">, </w:t>
      </w:r>
      <w:r>
        <w:rPr>
          <w:lang w:val="uk-UA"/>
        </w:rPr>
        <w:t>інфекції, що передаються статевим шляхом (включаючи ВІЛ)</w:t>
      </w:r>
      <w:r w:rsidR="00A007F8" w:rsidRPr="00202681">
        <w:rPr>
          <w:lang w:val="uk-UA"/>
        </w:rPr>
        <w:t xml:space="preserve">, </w:t>
      </w:r>
      <w:r>
        <w:rPr>
          <w:lang w:val="uk-UA"/>
        </w:rPr>
        <w:t>тілесні ушкодження, скоєні іншими, психічні захворювання та самогубства – усі вони пов’язані з певними типами поведінки і потребують міжгалузевої співпраці</w:t>
      </w:r>
      <w:r w:rsidR="00A007F8" w:rsidRPr="00202681">
        <w:rPr>
          <w:lang w:val="uk-UA"/>
        </w:rPr>
        <w:t>.</w:t>
      </w:r>
    </w:p>
    <w:p w:rsidR="00A007F8" w:rsidRPr="00641F48" w:rsidRDefault="00A007F8" w:rsidP="0067613A">
      <w:pPr>
        <w:pStyle w:val="HChGR"/>
        <w:rPr>
          <w:lang w:val="uk-UA"/>
        </w:rPr>
      </w:pPr>
      <w:r w:rsidRPr="00A007F8">
        <w:tab/>
        <w:t>IV.</w:t>
      </w:r>
      <w:r w:rsidRPr="00A007F8">
        <w:tab/>
      </w:r>
      <w:r w:rsidR="00641F48" w:rsidRPr="00641F48">
        <w:rPr>
          <w:lang w:val="uk-UA"/>
        </w:rPr>
        <w:t>Загальні принципи Конвенції</w:t>
      </w:r>
      <w:bookmarkStart w:id="3" w:name="_Toc468797235"/>
      <w:bookmarkEnd w:id="3"/>
    </w:p>
    <w:p w:rsidR="00A007F8" w:rsidRPr="00641F48" w:rsidRDefault="00A007F8" w:rsidP="00A007F8">
      <w:pPr>
        <w:pStyle w:val="SingleTxtGR"/>
        <w:rPr>
          <w:lang w:val="uk-UA"/>
        </w:rPr>
      </w:pPr>
      <w:r w:rsidRPr="00641F48">
        <w:rPr>
          <w:lang w:val="uk-UA"/>
        </w:rPr>
        <w:t>14.</w:t>
      </w:r>
      <w:r w:rsidRPr="00641F48">
        <w:rPr>
          <w:lang w:val="uk-UA"/>
        </w:rPr>
        <w:tab/>
      </w:r>
      <w:r w:rsidR="00641F48" w:rsidRPr="00641F48">
        <w:rPr>
          <w:lang w:val="uk-UA"/>
        </w:rPr>
        <w:t>Загальні принципи Конвенції являють собою призму, крізь яку слід розглядати процес впровадження, і виконують роль путівника для визначення заходів, необхідних для забезпечення реалізації прав дітей у підлітковому віці</w:t>
      </w:r>
      <w:r w:rsidRPr="00641F48">
        <w:rPr>
          <w:lang w:val="uk-UA"/>
        </w:rPr>
        <w:t xml:space="preserve">. </w:t>
      </w:r>
    </w:p>
    <w:p w:rsidR="00A007F8" w:rsidRPr="00641F48" w:rsidRDefault="00A007F8" w:rsidP="0067613A">
      <w:pPr>
        <w:pStyle w:val="H1GR"/>
        <w:rPr>
          <w:lang w:val="uk-UA"/>
        </w:rPr>
      </w:pPr>
      <w:r w:rsidRPr="00641F48">
        <w:rPr>
          <w:lang w:val="uk-UA"/>
        </w:rPr>
        <w:tab/>
        <w:t>A.</w:t>
      </w:r>
      <w:r w:rsidRPr="00641F48">
        <w:rPr>
          <w:lang w:val="uk-UA"/>
        </w:rPr>
        <w:tab/>
        <w:t>Право на р</w:t>
      </w:r>
      <w:r w:rsidR="00641F48">
        <w:rPr>
          <w:lang w:val="uk-UA"/>
        </w:rPr>
        <w:t>озвиток</w:t>
      </w:r>
      <w:bookmarkStart w:id="4" w:name="_Toc468797236"/>
      <w:bookmarkEnd w:id="4"/>
    </w:p>
    <w:p w:rsidR="00A007F8" w:rsidRPr="00641F48" w:rsidRDefault="00641F48" w:rsidP="0067613A">
      <w:pPr>
        <w:pStyle w:val="H23G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Позитивни</w:t>
      </w:r>
      <w:r w:rsidR="00A007F8" w:rsidRPr="00641F48">
        <w:rPr>
          <w:lang w:val="uk-UA"/>
        </w:rPr>
        <w:t xml:space="preserve">й </w:t>
      </w:r>
      <w:r>
        <w:rPr>
          <w:lang w:val="uk-UA"/>
        </w:rPr>
        <w:t>та цілісний підхід</w:t>
      </w:r>
    </w:p>
    <w:p w:rsidR="00A95CFF" w:rsidRDefault="00A007F8" w:rsidP="00A007F8">
      <w:pPr>
        <w:pStyle w:val="SingleTxtGR"/>
        <w:rPr>
          <w:lang w:val="uk-UA"/>
        </w:rPr>
      </w:pPr>
      <w:r w:rsidRPr="00641F48">
        <w:rPr>
          <w:lang w:val="uk-UA"/>
        </w:rPr>
        <w:t>15.</w:t>
      </w:r>
      <w:r w:rsidRPr="00641F48">
        <w:rPr>
          <w:lang w:val="uk-UA"/>
        </w:rPr>
        <w:tab/>
      </w:r>
      <w:r w:rsidR="00A95CFF" w:rsidRPr="00A95CFF">
        <w:rPr>
          <w:lang w:val="uk-UA"/>
        </w:rPr>
        <w:t xml:space="preserve">Комітет </w:t>
      </w:r>
      <w:r w:rsidR="00A95CFF">
        <w:rPr>
          <w:lang w:val="uk-UA"/>
        </w:rPr>
        <w:t xml:space="preserve">наголошує на важливості визнання </w:t>
      </w:r>
      <w:r w:rsidR="00A95CFF" w:rsidRPr="00A95CFF">
        <w:rPr>
          <w:lang w:val="uk-UA"/>
        </w:rPr>
        <w:t xml:space="preserve">підліткового </w:t>
      </w:r>
      <w:r w:rsidR="00A95CFF">
        <w:rPr>
          <w:lang w:val="uk-UA"/>
        </w:rPr>
        <w:t>віку і пов’язаних з ним характеристик у</w:t>
      </w:r>
      <w:r w:rsidR="00A95CFF" w:rsidRPr="00A95CFF">
        <w:rPr>
          <w:lang w:val="uk-UA"/>
        </w:rPr>
        <w:t xml:space="preserve"> якості позитивного етапу розвитку в дитинстві. </w:t>
      </w:r>
      <w:r w:rsidR="00A95CFF">
        <w:rPr>
          <w:lang w:val="uk-UA"/>
        </w:rPr>
        <w:t xml:space="preserve">Комітет з прикрістю визнає поширеність </w:t>
      </w:r>
      <w:r w:rsidR="00A95CFF" w:rsidRPr="00A95CFF">
        <w:rPr>
          <w:lang w:val="uk-UA"/>
        </w:rPr>
        <w:t>негативн</w:t>
      </w:r>
      <w:r w:rsidR="00A95CFF">
        <w:rPr>
          <w:lang w:val="uk-UA"/>
        </w:rPr>
        <w:t xml:space="preserve">ого характеризування </w:t>
      </w:r>
      <w:r w:rsidR="00A95CFF" w:rsidRPr="00A95CFF">
        <w:rPr>
          <w:lang w:val="uk-UA"/>
        </w:rPr>
        <w:t xml:space="preserve">підліткового віку, </w:t>
      </w:r>
      <w:r w:rsidR="00A95CFF">
        <w:rPr>
          <w:lang w:val="uk-UA"/>
        </w:rPr>
        <w:t xml:space="preserve">що обумовлює запровадження вузьких, спрямованих на конкретну проблему заходів і послуг, замість посилення зобов’язань зі </w:t>
      </w:r>
      <w:r w:rsidR="00A95CFF" w:rsidRPr="00A95CFF">
        <w:rPr>
          <w:lang w:val="uk-UA"/>
        </w:rPr>
        <w:t>створенн</w:t>
      </w:r>
      <w:r w:rsidR="00A95CFF">
        <w:rPr>
          <w:lang w:val="uk-UA"/>
        </w:rPr>
        <w:t>я</w:t>
      </w:r>
      <w:r w:rsidR="00A95CFF" w:rsidRPr="00A95CFF">
        <w:rPr>
          <w:lang w:val="uk-UA"/>
        </w:rPr>
        <w:t xml:space="preserve"> оптимальних умов, які б гарантували дотримання прав підлітків</w:t>
      </w:r>
      <w:r w:rsidR="00A95CFF">
        <w:rPr>
          <w:lang w:val="uk-UA"/>
        </w:rPr>
        <w:t xml:space="preserve"> і підтримували розвиток їхніх </w:t>
      </w:r>
      <w:r w:rsidR="00A95CFF" w:rsidRPr="00A95CFF">
        <w:rPr>
          <w:lang w:val="uk-UA"/>
        </w:rPr>
        <w:t>фізичних, психологічних, духовних, соціальних, емоційних, пізнавальних, культурних і економічних можливостей</w:t>
      </w:r>
      <w:r w:rsidR="00A95CFF">
        <w:rPr>
          <w:lang w:val="uk-UA"/>
        </w:rPr>
        <w:t xml:space="preserve"> </w:t>
      </w:r>
    </w:p>
    <w:p w:rsidR="00A95CFF" w:rsidRDefault="00A007F8" w:rsidP="00A007F8">
      <w:pPr>
        <w:pStyle w:val="SingleTxtGR"/>
        <w:rPr>
          <w:lang w:val="uk-UA"/>
        </w:rPr>
      </w:pPr>
      <w:r w:rsidRPr="00641F48">
        <w:rPr>
          <w:lang w:val="uk-UA"/>
        </w:rPr>
        <w:t>16.</w:t>
      </w:r>
      <w:r w:rsidRPr="00641F48">
        <w:rPr>
          <w:lang w:val="uk-UA"/>
        </w:rPr>
        <w:tab/>
      </w:r>
      <w:r w:rsidR="00A95CFF">
        <w:rPr>
          <w:lang w:val="uk-UA"/>
        </w:rPr>
        <w:t>За допомогою діалогу та залучення самих підлітків держави, а також недержавні суб’</w:t>
      </w:r>
      <w:r w:rsidR="00A95CFF" w:rsidRPr="00A95CFF">
        <w:rPr>
          <w:lang w:val="uk-UA"/>
        </w:rPr>
        <w:t xml:space="preserve">єкти повинні </w:t>
      </w:r>
      <w:r w:rsidR="00A95CFF">
        <w:rPr>
          <w:lang w:val="uk-UA"/>
        </w:rPr>
        <w:t>підтримувати середовища</w:t>
      </w:r>
      <w:r w:rsidR="00A95CFF" w:rsidRPr="00A95CFF">
        <w:rPr>
          <w:lang w:val="uk-UA"/>
        </w:rPr>
        <w:t xml:space="preserve">, </w:t>
      </w:r>
      <w:r w:rsidR="00A95CFF">
        <w:rPr>
          <w:lang w:val="uk-UA"/>
        </w:rPr>
        <w:t>що визнають об’єктивну</w:t>
      </w:r>
      <w:r w:rsidR="00A95CFF" w:rsidRPr="00A95CFF">
        <w:rPr>
          <w:lang w:val="uk-UA"/>
        </w:rPr>
        <w:t xml:space="preserve"> цінність підліткового віку, </w:t>
      </w:r>
      <w:r w:rsidR="00A95CFF">
        <w:rPr>
          <w:lang w:val="uk-UA"/>
        </w:rPr>
        <w:t xml:space="preserve">при цьому допомагаючи </w:t>
      </w:r>
      <w:r w:rsidR="00A95CFF" w:rsidRPr="00A95CFF">
        <w:rPr>
          <w:lang w:val="uk-UA"/>
        </w:rPr>
        <w:t xml:space="preserve">підліткам процвітати, досліджувати </w:t>
      </w:r>
      <w:r w:rsidR="00A95CFF">
        <w:rPr>
          <w:lang w:val="uk-UA"/>
        </w:rPr>
        <w:t>набуту ідентичність</w:t>
      </w:r>
      <w:r w:rsidR="00A95CFF" w:rsidRPr="00A95CFF">
        <w:rPr>
          <w:lang w:val="uk-UA"/>
        </w:rPr>
        <w:t xml:space="preserve">, </w:t>
      </w:r>
      <w:r w:rsidR="00A95CFF">
        <w:rPr>
          <w:lang w:val="uk-UA"/>
        </w:rPr>
        <w:t>переконання</w:t>
      </w:r>
      <w:r w:rsidR="00A95CFF" w:rsidRPr="00A95CFF">
        <w:rPr>
          <w:lang w:val="uk-UA"/>
        </w:rPr>
        <w:t>, сексуальні</w:t>
      </w:r>
      <w:r w:rsidR="00A95CFF">
        <w:rPr>
          <w:lang w:val="uk-UA"/>
        </w:rPr>
        <w:t>сть</w:t>
      </w:r>
      <w:r w:rsidR="00A95CFF" w:rsidRPr="00A95CFF">
        <w:rPr>
          <w:lang w:val="uk-UA"/>
        </w:rPr>
        <w:t xml:space="preserve"> і можливості, </w:t>
      </w:r>
      <w:r w:rsidR="00A95CFF">
        <w:rPr>
          <w:lang w:val="uk-UA"/>
        </w:rPr>
        <w:t xml:space="preserve">утримувати баланс </w:t>
      </w:r>
      <w:r w:rsidR="00A95CFF" w:rsidRPr="00A95CFF">
        <w:rPr>
          <w:lang w:val="uk-UA"/>
        </w:rPr>
        <w:t xml:space="preserve">між ризиком і безпекою, </w:t>
      </w:r>
      <w:r w:rsidR="00A95CFF">
        <w:rPr>
          <w:lang w:val="uk-UA"/>
        </w:rPr>
        <w:t xml:space="preserve">розвивати </w:t>
      </w:r>
      <w:r w:rsidR="00A95CFF" w:rsidRPr="00A95CFF">
        <w:rPr>
          <w:lang w:val="uk-UA"/>
        </w:rPr>
        <w:t>потенціал</w:t>
      </w:r>
      <w:r w:rsidR="00A95CFF">
        <w:rPr>
          <w:lang w:val="uk-UA"/>
        </w:rPr>
        <w:t xml:space="preserve"> для </w:t>
      </w:r>
      <w:r w:rsidR="00A95CFF" w:rsidRPr="00A95CFF">
        <w:rPr>
          <w:lang w:val="uk-UA"/>
        </w:rPr>
        <w:t xml:space="preserve">прийняття вільних, </w:t>
      </w:r>
      <w:r w:rsidR="00A95CFF">
        <w:rPr>
          <w:lang w:val="uk-UA"/>
        </w:rPr>
        <w:t xml:space="preserve">свідомих </w:t>
      </w:r>
      <w:r w:rsidR="00A95CFF" w:rsidRPr="00A95CFF">
        <w:rPr>
          <w:lang w:val="uk-UA"/>
        </w:rPr>
        <w:t xml:space="preserve">і позитивних рішень і </w:t>
      </w:r>
      <w:r w:rsidR="00A95CFF">
        <w:rPr>
          <w:lang w:val="uk-UA"/>
        </w:rPr>
        <w:t>життєвого вибору</w:t>
      </w:r>
      <w:r w:rsidR="00A95CFF" w:rsidRPr="00A95CFF">
        <w:rPr>
          <w:lang w:val="uk-UA"/>
        </w:rPr>
        <w:t xml:space="preserve">, а </w:t>
      </w:r>
      <w:r w:rsidR="00A95CFF">
        <w:rPr>
          <w:lang w:val="uk-UA"/>
        </w:rPr>
        <w:t xml:space="preserve">також успішно маневрувати на шляху </w:t>
      </w:r>
      <w:r w:rsidR="00A95CFF" w:rsidRPr="00A95CFF">
        <w:rPr>
          <w:lang w:val="uk-UA"/>
        </w:rPr>
        <w:t xml:space="preserve">до дорослого життя. </w:t>
      </w:r>
      <w:r w:rsidR="00A95CFF">
        <w:rPr>
          <w:lang w:val="uk-UA"/>
        </w:rPr>
        <w:t xml:space="preserve">Для цього потрібен підхід, що спирається на сильні сторони та визнає внесок, що його можуть зробити </w:t>
      </w:r>
      <w:r w:rsidR="00A95CFF" w:rsidRPr="00A95CFF">
        <w:rPr>
          <w:lang w:val="uk-UA"/>
        </w:rPr>
        <w:t xml:space="preserve">підлітки у власне життя і в життя інших, усуваючи </w:t>
      </w:r>
      <w:r w:rsidR="00A95CFF">
        <w:rPr>
          <w:lang w:val="uk-UA"/>
        </w:rPr>
        <w:t xml:space="preserve">при цьому бар’єри, що стримують ці можливості. </w:t>
      </w:r>
    </w:p>
    <w:p w:rsidR="00A007F8" w:rsidRPr="00A95CFF" w:rsidRDefault="00A007F8" w:rsidP="00A007F8">
      <w:pPr>
        <w:pStyle w:val="SingleTxtGR"/>
        <w:rPr>
          <w:lang w:val="uk-UA"/>
        </w:rPr>
      </w:pPr>
      <w:r w:rsidRPr="00A95CFF">
        <w:rPr>
          <w:lang w:val="uk-UA"/>
        </w:rPr>
        <w:t>17.</w:t>
      </w:r>
      <w:r w:rsidRPr="00A95CFF">
        <w:rPr>
          <w:lang w:val="uk-UA"/>
        </w:rPr>
        <w:tab/>
      </w:r>
      <w:r w:rsidR="00554021">
        <w:rPr>
          <w:lang w:val="uk-UA"/>
        </w:rPr>
        <w:t xml:space="preserve">До числа чинників, які, </w:t>
      </w:r>
      <w:r w:rsidR="00554021" w:rsidRPr="00554021">
        <w:rPr>
          <w:lang w:val="uk-UA"/>
        </w:rPr>
        <w:t xml:space="preserve">як відомо, сприяють підвищенню життєстійкості і здоровому розвитку підлітків, </w:t>
      </w:r>
      <w:r w:rsidR="00554021">
        <w:rPr>
          <w:lang w:val="uk-UA"/>
        </w:rPr>
        <w:t>належать: а) міцні зв’</w:t>
      </w:r>
      <w:r w:rsidR="00554021" w:rsidRPr="00554021">
        <w:rPr>
          <w:lang w:val="uk-UA"/>
        </w:rPr>
        <w:t xml:space="preserve">язки з дорослими, що </w:t>
      </w:r>
      <w:r w:rsidR="00554021">
        <w:rPr>
          <w:lang w:val="uk-UA"/>
        </w:rPr>
        <w:t xml:space="preserve">відіграють </w:t>
      </w:r>
      <w:r w:rsidR="00554021" w:rsidRPr="00554021">
        <w:rPr>
          <w:lang w:val="uk-UA"/>
        </w:rPr>
        <w:t xml:space="preserve">ключову роль в їхньому житті, і підтримка з їхнього боку; b) можливості </w:t>
      </w:r>
      <w:r w:rsidR="00554021">
        <w:rPr>
          <w:lang w:val="uk-UA"/>
        </w:rPr>
        <w:t xml:space="preserve">для </w:t>
      </w:r>
      <w:r w:rsidR="00554021" w:rsidRPr="00554021">
        <w:rPr>
          <w:lang w:val="uk-UA"/>
        </w:rPr>
        <w:t>участі та прийняття рішень; c) навич</w:t>
      </w:r>
      <w:r w:rsidR="00554021">
        <w:rPr>
          <w:lang w:val="uk-UA"/>
        </w:rPr>
        <w:t>ки</w:t>
      </w:r>
      <w:r w:rsidR="00554021" w:rsidRPr="00554021">
        <w:rPr>
          <w:lang w:val="uk-UA"/>
        </w:rPr>
        <w:t xml:space="preserve"> </w:t>
      </w:r>
      <w:r w:rsidR="00554021">
        <w:rPr>
          <w:lang w:val="uk-UA"/>
        </w:rPr>
        <w:t xml:space="preserve">вирішення </w:t>
      </w:r>
      <w:r w:rsidR="00554021" w:rsidRPr="00554021">
        <w:rPr>
          <w:lang w:val="uk-UA"/>
        </w:rPr>
        <w:t>проблем і подоланні труднощів; d) безпечн</w:t>
      </w:r>
      <w:r w:rsidR="00554021">
        <w:rPr>
          <w:lang w:val="uk-UA"/>
        </w:rPr>
        <w:t>е і здорове середовище</w:t>
      </w:r>
      <w:r w:rsidR="00554021" w:rsidRPr="00554021">
        <w:rPr>
          <w:lang w:val="uk-UA"/>
        </w:rPr>
        <w:t xml:space="preserve">; e) повага </w:t>
      </w:r>
      <w:r w:rsidR="00554021">
        <w:rPr>
          <w:lang w:val="uk-UA"/>
        </w:rPr>
        <w:t>до індивідуальності</w:t>
      </w:r>
      <w:r w:rsidR="00554021" w:rsidRPr="00554021">
        <w:rPr>
          <w:lang w:val="uk-UA"/>
        </w:rPr>
        <w:t xml:space="preserve">; </w:t>
      </w:r>
      <w:r w:rsidR="00554021">
        <w:rPr>
          <w:lang w:val="uk-UA"/>
        </w:rPr>
        <w:t xml:space="preserve">та </w:t>
      </w:r>
      <w:r w:rsidR="00554021" w:rsidRPr="00554021">
        <w:rPr>
          <w:lang w:val="uk-UA"/>
        </w:rPr>
        <w:t>f) можливості для створення і підтримки дружніх відносин. Коміте</w:t>
      </w:r>
      <w:r w:rsidR="00554021">
        <w:rPr>
          <w:lang w:val="uk-UA"/>
        </w:rPr>
        <w:t xml:space="preserve">т підкреслює, що можливості </w:t>
      </w:r>
      <w:r w:rsidR="00554021" w:rsidRPr="00554021">
        <w:rPr>
          <w:lang w:val="uk-UA"/>
        </w:rPr>
        <w:t xml:space="preserve">підлітків створювати такі соціальні активи і </w:t>
      </w:r>
      <w:r w:rsidR="00554021">
        <w:rPr>
          <w:lang w:val="uk-UA"/>
        </w:rPr>
        <w:t xml:space="preserve">мати від них користь </w:t>
      </w:r>
      <w:r w:rsidR="00554021" w:rsidRPr="00554021">
        <w:rPr>
          <w:lang w:val="uk-UA"/>
        </w:rPr>
        <w:t>сприятимуть зм</w:t>
      </w:r>
      <w:r w:rsidR="00554021">
        <w:rPr>
          <w:lang w:val="uk-UA"/>
        </w:rPr>
        <w:t>іцненню їхнього потенціалу у реалізації своїх прав, у</w:t>
      </w:r>
      <w:r w:rsidR="00554021" w:rsidRPr="00554021">
        <w:rPr>
          <w:lang w:val="uk-UA"/>
        </w:rPr>
        <w:t xml:space="preserve"> тому числі шляхом підтримки </w:t>
      </w:r>
      <w:r w:rsidR="00554021">
        <w:rPr>
          <w:lang w:val="uk-UA"/>
        </w:rPr>
        <w:t xml:space="preserve">гарного </w:t>
      </w:r>
      <w:r w:rsidR="00554021" w:rsidRPr="00554021">
        <w:rPr>
          <w:lang w:val="uk-UA"/>
        </w:rPr>
        <w:t>фізичного і психічного здоров'я, уник</w:t>
      </w:r>
      <w:r w:rsidR="00554021">
        <w:rPr>
          <w:lang w:val="uk-UA"/>
        </w:rPr>
        <w:t xml:space="preserve">нення </w:t>
      </w:r>
      <w:r w:rsidR="00554021" w:rsidRPr="00554021">
        <w:rPr>
          <w:lang w:val="uk-UA"/>
        </w:rPr>
        <w:t xml:space="preserve">ризикованої поведінки, </w:t>
      </w:r>
      <w:r w:rsidR="00554021">
        <w:rPr>
          <w:lang w:val="uk-UA"/>
        </w:rPr>
        <w:t xml:space="preserve">відновлення після </w:t>
      </w:r>
      <w:r w:rsidR="00554021" w:rsidRPr="00554021">
        <w:rPr>
          <w:lang w:val="uk-UA"/>
        </w:rPr>
        <w:t xml:space="preserve">невдач, </w:t>
      </w:r>
      <w:r w:rsidR="00554021">
        <w:rPr>
          <w:lang w:val="uk-UA"/>
        </w:rPr>
        <w:t>досягнення успіхів у навчанні</w:t>
      </w:r>
      <w:r w:rsidR="00554021" w:rsidRPr="00554021">
        <w:rPr>
          <w:lang w:val="uk-UA"/>
        </w:rPr>
        <w:t xml:space="preserve">, </w:t>
      </w:r>
      <w:r w:rsidR="00554021">
        <w:rPr>
          <w:lang w:val="uk-UA"/>
        </w:rPr>
        <w:t>демонстрації терпимості</w:t>
      </w:r>
      <w:r w:rsidR="00554021" w:rsidRPr="00554021">
        <w:rPr>
          <w:lang w:val="uk-UA"/>
        </w:rPr>
        <w:t xml:space="preserve">, </w:t>
      </w:r>
      <w:r w:rsidR="00554021">
        <w:rPr>
          <w:lang w:val="uk-UA"/>
        </w:rPr>
        <w:t xml:space="preserve">налагодження дружніх стосунків і демонстрації лідерських якостей.  </w:t>
      </w:r>
    </w:p>
    <w:p w:rsidR="00A007F8" w:rsidRPr="00A95CFF" w:rsidRDefault="000A6171" w:rsidP="0067613A">
      <w:pPr>
        <w:pStyle w:val="H23GR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  <w:t>Повага до здібностей, що розвиваються</w:t>
      </w:r>
    </w:p>
    <w:p w:rsidR="00A007F8" w:rsidRPr="00A95CFF" w:rsidRDefault="00A007F8" w:rsidP="00A007F8">
      <w:pPr>
        <w:pStyle w:val="SingleTxtGR"/>
        <w:rPr>
          <w:lang w:val="uk-UA"/>
        </w:rPr>
      </w:pPr>
      <w:r w:rsidRPr="00A95CFF">
        <w:rPr>
          <w:lang w:val="uk-UA"/>
        </w:rPr>
        <w:t>18.</w:t>
      </w:r>
      <w:r w:rsidRPr="00A95CFF">
        <w:rPr>
          <w:lang w:val="uk-UA"/>
        </w:rPr>
        <w:tab/>
      </w:r>
      <w:r w:rsidR="000A6171" w:rsidRPr="000A6171">
        <w:rPr>
          <w:lang w:val="uk-UA"/>
        </w:rPr>
        <w:t>Стаття 5 Конвенції вимагає, щоб батьки управляли і керували дитиною відповідно до здібностей дитини</w:t>
      </w:r>
      <w:r w:rsidR="000A6171">
        <w:rPr>
          <w:lang w:val="uk-UA"/>
        </w:rPr>
        <w:t>, що розвиваються</w:t>
      </w:r>
      <w:r w:rsidR="000A6171" w:rsidRPr="000A6171">
        <w:rPr>
          <w:lang w:val="uk-UA"/>
        </w:rPr>
        <w:t xml:space="preserve">. Комітет визначає </w:t>
      </w:r>
      <w:r w:rsidR="000A6171">
        <w:rPr>
          <w:lang w:val="uk-UA"/>
        </w:rPr>
        <w:t>такі здібності</w:t>
      </w:r>
      <w:r w:rsidR="000A6171" w:rsidRPr="000A6171">
        <w:rPr>
          <w:lang w:val="uk-UA"/>
        </w:rPr>
        <w:t xml:space="preserve"> як </w:t>
      </w:r>
      <w:r w:rsidR="000A6171">
        <w:rPr>
          <w:lang w:val="uk-UA"/>
        </w:rPr>
        <w:t>сприятливи</w:t>
      </w:r>
      <w:r w:rsidR="000A6171" w:rsidRPr="000A6171">
        <w:rPr>
          <w:lang w:val="uk-UA"/>
        </w:rPr>
        <w:t xml:space="preserve">й принцип, </w:t>
      </w:r>
      <w:r w:rsidR="000A6171">
        <w:rPr>
          <w:lang w:val="uk-UA"/>
        </w:rPr>
        <w:t xml:space="preserve">що </w:t>
      </w:r>
      <w:r w:rsidR="000A6171" w:rsidRPr="000A6171">
        <w:rPr>
          <w:lang w:val="uk-UA"/>
        </w:rPr>
        <w:t xml:space="preserve">передбачає процес дорослішання і навчання, в ході якого діти поступово набувають </w:t>
      </w:r>
      <w:r w:rsidR="000A6171">
        <w:rPr>
          <w:lang w:val="uk-UA"/>
        </w:rPr>
        <w:t xml:space="preserve">компетенції, </w:t>
      </w:r>
      <w:r w:rsidR="000A6171" w:rsidRPr="000A6171">
        <w:rPr>
          <w:lang w:val="uk-UA"/>
        </w:rPr>
        <w:t>розуміння суті речей</w:t>
      </w:r>
      <w:r w:rsidR="000A6171" w:rsidRPr="00A95CFF">
        <w:rPr>
          <w:sz w:val="18"/>
          <w:vertAlign w:val="superscript"/>
          <w:lang w:val="uk-UA"/>
        </w:rPr>
        <w:footnoteReference w:id="3"/>
      </w:r>
      <w:r w:rsidR="000A6171" w:rsidRPr="000A6171">
        <w:rPr>
          <w:lang w:val="uk-UA"/>
        </w:rPr>
        <w:t xml:space="preserve"> і </w:t>
      </w:r>
      <w:r w:rsidR="000A6171">
        <w:rPr>
          <w:lang w:val="uk-UA"/>
        </w:rPr>
        <w:t xml:space="preserve">дедалі зростаючу спроможність брати </w:t>
      </w:r>
      <w:r w:rsidR="000A6171" w:rsidRPr="000A6171">
        <w:rPr>
          <w:lang w:val="uk-UA"/>
        </w:rPr>
        <w:t xml:space="preserve">на себе відповідальність і </w:t>
      </w:r>
      <w:r w:rsidR="000A6171">
        <w:rPr>
          <w:lang w:val="uk-UA"/>
        </w:rPr>
        <w:t xml:space="preserve">реалізувати </w:t>
      </w:r>
      <w:r w:rsidR="000A6171" w:rsidRPr="000A6171">
        <w:rPr>
          <w:lang w:val="uk-UA"/>
        </w:rPr>
        <w:t xml:space="preserve">свої права. Комітет стверджує, що </w:t>
      </w:r>
      <w:r w:rsidR="000A6171">
        <w:rPr>
          <w:lang w:val="uk-UA"/>
        </w:rPr>
        <w:t xml:space="preserve">чим більше знає і розуміє дитина, тим частіше управління і керівництво батьків має набувати форму нагадувань </w:t>
      </w:r>
      <w:r w:rsidR="000A6171" w:rsidRPr="000A6171">
        <w:rPr>
          <w:lang w:val="uk-UA"/>
        </w:rPr>
        <w:t>і поступово переходити до обміну думками на рівноправній основі</w:t>
      </w:r>
      <w:r w:rsidRPr="00A95CFF">
        <w:rPr>
          <w:sz w:val="18"/>
          <w:vertAlign w:val="superscript"/>
          <w:lang w:val="uk-UA"/>
        </w:rPr>
        <w:footnoteReference w:id="4"/>
      </w:r>
      <w:r w:rsidRPr="00A95CFF">
        <w:rPr>
          <w:lang w:val="uk-UA"/>
        </w:rPr>
        <w:t>.</w:t>
      </w:r>
    </w:p>
    <w:p w:rsidR="00CC1708" w:rsidRDefault="00A007F8" w:rsidP="00A007F8">
      <w:pPr>
        <w:pStyle w:val="SingleTxtGR"/>
        <w:rPr>
          <w:lang w:val="uk-UA"/>
        </w:rPr>
      </w:pPr>
      <w:r w:rsidRPr="00A95CFF">
        <w:rPr>
          <w:lang w:val="uk-UA"/>
        </w:rPr>
        <w:t>19.</w:t>
      </w:r>
      <w:r w:rsidRPr="00A95CFF">
        <w:rPr>
          <w:lang w:val="uk-UA"/>
        </w:rPr>
        <w:tab/>
      </w:r>
      <w:r w:rsidR="00CC1708" w:rsidRPr="00CC1708">
        <w:rPr>
          <w:lang w:val="uk-UA"/>
        </w:rPr>
        <w:t xml:space="preserve">Комітет </w:t>
      </w:r>
      <w:r w:rsidR="00CC1708">
        <w:rPr>
          <w:lang w:val="uk-UA"/>
        </w:rPr>
        <w:t>наголошує</w:t>
      </w:r>
      <w:r w:rsidR="00CC1708" w:rsidRPr="00CC1708">
        <w:rPr>
          <w:lang w:val="uk-UA"/>
        </w:rPr>
        <w:t xml:space="preserve">, що право підлітків брати на себе </w:t>
      </w:r>
      <w:r w:rsidR="00CC1708">
        <w:rPr>
          <w:lang w:val="uk-UA"/>
        </w:rPr>
        <w:t xml:space="preserve">дедалі більшу </w:t>
      </w:r>
      <w:r w:rsidR="00CC1708" w:rsidRPr="00CC1708">
        <w:rPr>
          <w:lang w:val="uk-UA"/>
        </w:rPr>
        <w:t>відповідальність не пови</w:t>
      </w:r>
      <w:r w:rsidR="00CC1708">
        <w:rPr>
          <w:lang w:val="uk-UA"/>
        </w:rPr>
        <w:t>нно звільняти держави від зобов’</w:t>
      </w:r>
      <w:r w:rsidR="00CC1708" w:rsidRPr="00CC1708">
        <w:rPr>
          <w:lang w:val="uk-UA"/>
        </w:rPr>
        <w:t>язання гарантувати їм захист</w:t>
      </w:r>
      <w:r w:rsidR="00CC1708" w:rsidRPr="00A95CFF">
        <w:rPr>
          <w:sz w:val="18"/>
          <w:vertAlign w:val="superscript"/>
          <w:lang w:val="uk-UA"/>
        </w:rPr>
        <w:footnoteReference w:id="5"/>
      </w:r>
      <w:r w:rsidR="00CC1708" w:rsidRPr="00CC1708">
        <w:rPr>
          <w:lang w:val="uk-UA"/>
        </w:rPr>
        <w:t>. П</w:t>
      </w:r>
      <w:r w:rsidR="00CC1708">
        <w:rPr>
          <w:lang w:val="uk-UA"/>
        </w:rPr>
        <w:t>оступовий вихід з-під опіки сім’</w:t>
      </w:r>
      <w:r w:rsidR="00CC1708" w:rsidRPr="00CC1708">
        <w:rPr>
          <w:lang w:val="uk-UA"/>
        </w:rPr>
        <w:t xml:space="preserve">ї чи інших </w:t>
      </w:r>
      <w:r w:rsidR="00CC1708">
        <w:rPr>
          <w:lang w:val="uk-UA"/>
        </w:rPr>
        <w:t>умов піклування у</w:t>
      </w:r>
      <w:r w:rsidR="00CC1708" w:rsidRPr="00CC1708">
        <w:rPr>
          <w:lang w:val="uk-UA"/>
        </w:rPr>
        <w:t xml:space="preserve"> поєднанні з відносною недосвідченістю і </w:t>
      </w:r>
      <w:r w:rsidR="00CC1708">
        <w:rPr>
          <w:lang w:val="uk-UA"/>
        </w:rPr>
        <w:t>браком сил</w:t>
      </w:r>
      <w:r w:rsidR="00CC1708" w:rsidRPr="00CC1708">
        <w:rPr>
          <w:lang w:val="uk-UA"/>
        </w:rPr>
        <w:t xml:space="preserve"> може зробити підлітків уразливими до порушень їх</w:t>
      </w:r>
      <w:r w:rsidR="00CC1708">
        <w:rPr>
          <w:lang w:val="uk-UA"/>
        </w:rPr>
        <w:t>ніх</w:t>
      </w:r>
      <w:r w:rsidR="00CC1708" w:rsidRPr="00CC1708">
        <w:rPr>
          <w:lang w:val="uk-UA"/>
        </w:rPr>
        <w:t xml:space="preserve"> прав. Комітет підкреслює, що участь підлітків у виявленні потенційних ризиків</w:t>
      </w:r>
      <w:r w:rsidR="00CC1708">
        <w:rPr>
          <w:lang w:val="uk-UA"/>
        </w:rPr>
        <w:t xml:space="preserve">, у </w:t>
      </w:r>
      <w:r w:rsidR="00CC1708" w:rsidRPr="00CC1708">
        <w:rPr>
          <w:lang w:val="uk-UA"/>
        </w:rPr>
        <w:t>розро</w:t>
      </w:r>
      <w:r w:rsidR="00CC1708">
        <w:rPr>
          <w:lang w:val="uk-UA"/>
        </w:rPr>
        <w:t>бці і здійсненні програм їх пом’</w:t>
      </w:r>
      <w:r w:rsidR="00CC1708" w:rsidRPr="00CC1708">
        <w:rPr>
          <w:lang w:val="uk-UA"/>
        </w:rPr>
        <w:t>якшення дозволить забезпечити більш ефективний захист. Завдяки гарантії права бути заслуханими, оскаржувати порушення своїх прав і домагатися їх відновлення</w:t>
      </w:r>
      <w:r w:rsidR="00CC1708">
        <w:rPr>
          <w:lang w:val="uk-UA"/>
        </w:rPr>
        <w:t>,</w:t>
      </w:r>
      <w:r w:rsidR="00CC1708" w:rsidRPr="00CC1708">
        <w:rPr>
          <w:lang w:val="uk-UA"/>
        </w:rPr>
        <w:t xml:space="preserve"> підлітки поступово </w:t>
      </w:r>
      <w:r w:rsidR="00CC1708">
        <w:rPr>
          <w:lang w:val="uk-UA"/>
        </w:rPr>
        <w:t xml:space="preserve">розвивають здатність </w:t>
      </w:r>
      <w:r w:rsidR="00CC1708" w:rsidRPr="00CC1708">
        <w:rPr>
          <w:lang w:val="uk-UA"/>
        </w:rPr>
        <w:t>до організації свого власного захисту</w:t>
      </w:r>
      <w:r w:rsidR="00CC1708">
        <w:rPr>
          <w:lang w:val="uk-UA"/>
        </w:rPr>
        <w:t xml:space="preserve">. </w:t>
      </w:r>
    </w:p>
    <w:p w:rsidR="00A007F8" w:rsidRPr="00A95CFF" w:rsidRDefault="00A007F8" w:rsidP="00A007F8">
      <w:pPr>
        <w:pStyle w:val="SingleTxtGR"/>
        <w:rPr>
          <w:lang w:val="uk-UA"/>
        </w:rPr>
      </w:pPr>
      <w:r w:rsidRPr="00A95CFF">
        <w:rPr>
          <w:lang w:val="uk-UA"/>
        </w:rPr>
        <w:t>20.</w:t>
      </w:r>
      <w:r w:rsidRPr="00A95CFF">
        <w:rPr>
          <w:lang w:val="uk-UA"/>
        </w:rPr>
        <w:tab/>
      </w:r>
      <w:r w:rsidR="00093DF4" w:rsidRPr="00093DF4">
        <w:rPr>
          <w:lang w:val="uk-UA"/>
        </w:rPr>
        <w:t xml:space="preserve">У прагненні забезпечити належний баланс між повагою </w:t>
      </w:r>
      <w:r w:rsidR="00093DF4">
        <w:rPr>
          <w:lang w:val="uk-UA"/>
        </w:rPr>
        <w:t xml:space="preserve">до </w:t>
      </w:r>
      <w:r w:rsidR="00093DF4" w:rsidRPr="00093DF4">
        <w:rPr>
          <w:lang w:val="uk-UA"/>
        </w:rPr>
        <w:t>здібностей підлітків</w:t>
      </w:r>
      <w:r w:rsidR="00093DF4">
        <w:rPr>
          <w:lang w:val="uk-UA"/>
        </w:rPr>
        <w:t>, що розвиваються,</w:t>
      </w:r>
      <w:r w:rsidR="00093DF4" w:rsidRPr="00093DF4">
        <w:rPr>
          <w:lang w:val="uk-UA"/>
        </w:rPr>
        <w:t xml:space="preserve"> та належним рівнем захисту слід враховувати </w:t>
      </w:r>
      <w:r w:rsidR="00093DF4">
        <w:rPr>
          <w:lang w:val="uk-UA"/>
        </w:rPr>
        <w:t>низку чинників</w:t>
      </w:r>
      <w:r w:rsidR="00093DF4" w:rsidRPr="00093DF4">
        <w:rPr>
          <w:lang w:val="uk-UA"/>
        </w:rPr>
        <w:t xml:space="preserve">, що впливають на прийняття рішень, </w:t>
      </w:r>
      <w:r w:rsidR="00093DF4">
        <w:rPr>
          <w:lang w:val="uk-UA"/>
        </w:rPr>
        <w:t xml:space="preserve">зокрема </w:t>
      </w:r>
      <w:r w:rsidR="00093DF4" w:rsidRPr="00093DF4">
        <w:rPr>
          <w:lang w:val="uk-UA"/>
        </w:rPr>
        <w:t xml:space="preserve">рівень </w:t>
      </w:r>
      <w:r w:rsidR="00093DF4">
        <w:rPr>
          <w:lang w:val="uk-UA"/>
        </w:rPr>
        <w:t xml:space="preserve">пов’язаного ризику, можливість </w:t>
      </w:r>
      <w:r w:rsidR="00093DF4" w:rsidRPr="00093DF4">
        <w:rPr>
          <w:lang w:val="uk-UA"/>
        </w:rPr>
        <w:t xml:space="preserve">експлуатації, розуміння </w:t>
      </w:r>
      <w:r w:rsidR="00093DF4">
        <w:rPr>
          <w:lang w:val="uk-UA"/>
        </w:rPr>
        <w:t xml:space="preserve">підліткового </w:t>
      </w:r>
      <w:r w:rsidR="00093DF4" w:rsidRPr="00093DF4">
        <w:rPr>
          <w:lang w:val="uk-UA"/>
        </w:rPr>
        <w:t xml:space="preserve">розвитку, визнання того, що </w:t>
      </w:r>
      <w:r w:rsidR="00093DF4">
        <w:rPr>
          <w:lang w:val="uk-UA"/>
        </w:rPr>
        <w:t>компетенції та розуміння суті речей не обов’</w:t>
      </w:r>
      <w:r w:rsidR="00093DF4" w:rsidRPr="00093DF4">
        <w:rPr>
          <w:lang w:val="uk-UA"/>
        </w:rPr>
        <w:t xml:space="preserve">язково однаково швидко розвиваються в усіх областях, і визнання </w:t>
      </w:r>
      <w:r w:rsidR="00093DF4">
        <w:rPr>
          <w:lang w:val="uk-UA"/>
        </w:rPr>
        <w:t>особистого досвіду і можливостей</w:t>
      </w:r>
      <w:r w:rsidRPr="00A95CFF">
        <w:rPr>
          <w:lang w:val="uk-UA"/>
        </w:rPr>
        <w:t xml:space="preserve">. </w:t>
      </w:r>
    </w:p>
    <w:p w:rsidR="00A007F8" w:rsidRPr="00A95CFF" w:rsidRDefault="003A4962" w:rsidP="0067613A">
      <w:pPr>
        <w:pStyle w:val="H1GR"/>
        <w:rPr>
          <w:lang w:val="uk-UA"/>
        </w:rPr>
      </w:pPr>
      <w:r>
        <w:rPr>
          <w:lang w:val="uk-UA"/>
        </w:rPr>
        <w:tab/>
        <w:t>B.</w:t>
      </w:r>
      <w:r>
        <w:rPr>
          <w:lang w:val="uk-UA"/>
        </w:rPr>
        <w:tab/>
        <w:t>Недискримінаці</w:t>
      </w:r>
      <w:r w:rsidR="00A007F8" w:rsidRPr="00A95CFF">
        <w:rPr>
          <w:lang w:val="uk-UA"/>
        </w:rPr>
        <w:t>я</w:t>
      </w:r>
      <w:bookmarkStart w:id="5" w:name="_Toc468797237"/>
      <w:bookmarkEnd w:id="5"/>
    </w:p>
    <w:p w:rsidR="00A007F8" w:rsidRPr="00A95CFF" w:rsidRDefault="00A007F8" w:rsidP="00A007F8">
      <w:pPr>
        <w:pStyle w:val="SingleTxtGR"/>
        <w:rPr>
          <w:lang w:val="uk-UA"/>
        </w:rPr>
      </w:pPr>
      <w:r w:rsidRPr="00A95CFF">
        <w:rPr>
          <w:lang w:val="uk-UA"/>
        </w:rPr>
        <w:t>21.</w:t>
      </w:r>
      <w:r w:rsidRPr="00A95CFF">
        <w:rPr>
          <w:lang w:val="uk-UA"/>
        </w:rPr>
        <w:tab/>
      </w:r>
      <w:r w:rsidR="002A5478" w:rsidRPr="002A5478">
        <w:rPr>
          <w:lang w:val="uk-UA"/>
        </w:rPr>
        <w:t xml:space="preserve">Комітет визначив </w:t>
      </w:r>
      <w:r w:rsidR="002A5478">
        <w:rPr>
          <w:lang w:val="uk-UA"/>
        </w:rPr>
        <w:t xml:space="preserve">численні </w:t>
      </w:r>
      <w:r w:rsidR="002A5478" w:rsidRPr="002A5478">
        <w:rPr>
          <w:lang w:val="uk-UA"/>
        </w:rPr>
        <w:t xml:space="preserve">форми дискримінації, багато з яких особливим чином </w:t>
      </w:r>
      <w:r w:rsidR="002A5478">
        <w:rPr>
          <w:lang w:val="uk-UA"/>
        </w:rPr>
        <w:t>проявляються у</w:t>
      </w:r>
      <w:r w:rsidR="002A5478" w:rsidRPr="002A5478">
        <w:rPr>
          <w:lang w:val="uk-UA"/>
        </w:rPr>
        <w:t xml:space="preserve"> підлітковому віці і вимагають між</w:t>
      </w:r>
      <w:r w:rsidR="002A5478">
        <w:rPr>
          <w:lang w:val="uk-UA"/>
        </w:rPr>
        <w:t>галузевого аналізу та</w:t>
      </w:r>
      <w:r w:rsidR="002A5478" w:rsidRPr="002A5478">
        <w:rPr>
          <w:lang w:val="uk-UA"/>
        </w:rPr>
        <w:t xml:space="preserve"> ціл</w:t>
      </w:r>
      <w:r w:rsidR="002A5478">
        <w:rPr>
          <w:lang w:val="uk-UA"/>
        </w:rPr>
        <w:t xml:space="preserve">ьових </w:t>
      </w:r>
      <w:r w:rsidR="002A5478" w:rsidRPr="002A5478">
        <w:rPr>
          <w:lang w:val="uk-UA"/>
        </w:rPr>
        <w:t>комплексних заходів</w:t>
      </w:r>
      <w:r w:rsidR="002A5478" w:rsidRPr="00A95CFF">
        <w:rPr>
          <w:sz w:val="18"/>
          <w:vertAlign w:val="superscript"/>
          <w:lang w:val="uk-UA"/>
        </w:rPr>
        <w:footnoteReference w:id="6"/>
      </w:r>
      <w:r w:rsidR="002A5478" w:rsidRPr="002A5478">
        <w:rPr>
          <w:lang w:val="uk-UA"/>
        </w:rPr>
        <w:t xml:space="preserve">. Підлітковий вік сам по собі може породжувати дискримінацію. У цей період підлітки </w:t>
      </w:r>
      <w:r w:rsidR="002A5478">
        <w:rPr>
          <w:lang w:val="uk-UA"/>
        </w:rPr>
        <w:t xml:space="preserve">з огляду на свій статус </w:t>
      </w:r>
      <w:r w:rsidR="002A5478" w:rsidRPr="002A5478">
        <w:rPr>
          <w:lang w:val="uk-UA"/>
        </w:rPr>
        <w:t xml:space="preserve">можуть вважатися небезпечними </w:t>
      </w:r>
      <w:r w:rsidR="002A5478">
        <w:rPr>
          <w:lang w:val="uk-UA"/>
        </w:rPr>
        <w:t xml:space="preserve">чи </w:t>
      </w:r>
      <w:r w:rsidR="002A5478" w:rsidRPr="002A5478">
        <w:rPr>
          <w:lang w:val="uk-UA"/>
        </w:rPr>
        <w:t>ворож</w:t>
      </w:r>
      <w:r w:rsidR="002A5478">
        <w:rPr>
          <w:lang w:val="uk-UA"/>
        </w:rPr>
        <w:t>ими</w:t>
      </w:r>
      <w:r w:rsidR="002A5478" w:rsidRPr="002A5478">
        <w:rPr>
          <w:lang w:val="uk-UA"/>
        </w:rPr>
        <w:t xml:space="preserve">, потрапляти </w:t>
      </w:r>
      <w:r w:rsidR="002A5478">
        <w:rPr>
          <w:lang w:val="uk-UA"/>
        </w:rPr>
        <w:t>за ґрати</w:t>
      </w:r>
      <w:r w:rsidR="002A5478" w:rsidRPr="002A5478">
        <w:rPr>
          <w:lang w:val="uk-UA"/>
        </w:rPr>
        <w:t>, піддава</w:t>
      </w:r>
      <w:r w:rsidR="002A5478">
        <w:rPr>
          <w:lang w:val="uk-UA"/>
        </w:rPr>
        <w:t>тися експлуатації або насильству</w:t>
      </w:r>
      <w:r w:rsidR="002A5478" w:rsidRPr="002A5478">
        <w:rPr>
          <w:lang w:val="uk-UA"/>
        </w:rPr>
        <w:t xml:space="preserve">. Як це не </w:t>
      </w:r>
      <w:r w:rsidR="002A5478">
        <w:rPr>
          <w:lang w:val="uk-UA"/>
        </w:rPr>
        <w:t xml:space="preserve">дивно, однак </w:t>
      </w:r>
      <w:r w:rsidR="002A5478" w:rsidRPr="002A5478">
        <w:rPr>
          <w:lang w:val="uk-UA"/>
        </w:rPr>
        <w:t xml:space="preserve">їх також часто вважають некомпетентними і нездатними приймати рішення, що стосуються їхнього життя. Комітет закликає держави </w:t>
      </w:r>
      <w:r w:rsidR="002A5478">
        <w:rPr>
          <w:lang w:val="uk-UA"/>
        </w:rPr>
        <w:t>вживати заходів, щоб у</w:t>
      </w:r>
      <w:r w:rsidR="002A5478" w:rsidRPr="002A5478">
        <w:rPr>
          <w:lang w:val="uk-UA"/>
        </w:rPr>
        <w:t xml:space="preserve">сі права </w:t>
      </w:r>
      <w:r w:rsidR="002A5478">
        <w:rPr>
          <w:lang w:val="uk-UA"/>
        </w:rPr>
        <w:t xml:space="preserve">кожного хлопця і дівчини-підлітка </w:t>
      </w:r>
      <w:r w:rsidR="002A5478" w:rsidRPr="002A5478">
        <w:rPr>
          <w:lang w:val="uk-UA"/>
        </w:rPr>
        <w:t>користувалися однаковою повагою і захистом</w:t>
      </w:r>
      <w:r w:rsidR="002A5478">
        <w:rPr>
          <w:lang w:val="uk-UA"/>
        </w:rPr>
        <w:t>,</w:t>
      </w:r>
      <w:r w:rsidR="002A5478" w:rsidRPr="002A5478">
        <w:rPr>
          <w:lang w:val="uk-UA"/>
        </w:rPr>
        <w:t xml:space="preserve"> і щоб в рамках політики </w:t>
      </w:r>
      <w:r w:rsidR="002A5478">
        <w:rPr>
          <w:lang w:val="uk-UA"/>
        </w:rPr>
        <w:t xml:space="preserve">впроваджувалися комплексні та належні спеціальні заходи </w:t>
      </w:r>
      <w:r w:rsidR="002A5478" w:rsidRPr="002A5478">
        <w:rPr>
          <w:lang w:val="uk-UA"/>
        </w:rPr>
        <w:t xml:space="preserve">з метою ослаблення впливу або усунення умов, </w:t>
      </w:r>
      <w:r w:rsidR="002A5478">
        <w:rPr>
          <w:lang w:val="uk-UA"/>
        </w:rPr>
        <w:t xml:space="preserve">що призводять до </w:t>
      </w:r>
      <w:r w:rsidR="002A5478" w:rsidRPr="002A5478">
        <w:rPr>
          <w:lang w:val="uk-UA"/>
        </w:rPr>
        <w:t>прям</w:t>
      </w:r>
      <w:r w:rsidR="002A5478">
        <w:rPr>
          <w:lang w:val="uk-UA"/>
        </w:rPr>
        <w:t>ої чи непрямої дискримінації</w:t>
      </w:r>
      <w:r w:rsidR="002A5478" w:rsidRPr="002A5478">
        <w:rPr>
          <w:lang w:val="uk-UA"/>
        </w:rPr>
        <w:t xml:space="preserve"> </w:t>
      </w:r>
      <w:r w:rsidR="002A5478">
        <w:rPr>
          <w:lang w:val="uk-UA"/>
        </w:rPr>
        <w:t xml:space="preserve">у відношенні </w:t>
      </w:r>
      <w:r w:rsidR="002A5478" w:rsidRPr="002A5478">
        <w:rPr>
          <w:lang w:val="uk-UA"/>
        </w:rPr>
        <w:t xml:space="preserve">до будь-якої групи підлітків </w:t>
      </w:r>
      <w:r w:rsidR="002A5478">
        <w:rPr>
          <w:lang w:val="uk-UA"/>
        </w:rPr>
        <w:t xml:space="preserve">за </w:t>
      </w:r>
      <w:r w:rsidR="002A5478" w:rsidRPr="002A5478">
        <w:rPr>
          <w:lang w:val="uk-UA"/>
        </w:rPr>
        <w:t>будь-якою ознакою</w:t>
      </w:r>
      <w:r w:rsidR="002A5478" w:rsidRPr="00A95CFF">
        <w:rPr>
          <w:sz w:val="18"/>
          <w:vertAlign w:val="superscript"/>
          <w:lang w:val="uk-UA"/>
        </w:rPr>
        <w:footnoteReference w:id="7"/>
      </w:r>
      <w:r w:rsidR="002A5478" w:rsidRPr="002A5478">
        <w:rPr>
          <w:lang w:val="uk-UA"/>
        </w:rPr>
        <w:t xml:space="preserve">. </w:t>
      </w:r>
      <w:r w:rsidR="002A5478">
        <w:rPr>
          <w:lang w:val="uk-UA"/>
        </w:rPr>
        <w:t xml:space="preserve">Комітет </w:t>
      </w:r>
      <w:r w:rsidR="002A5478" w:rsidRPr="002A5478">
        <w:rPr>
          <w:lang w:val="uk-UA"/>
        </w:rPr>
        <w:t xml:space="preserve">нагадує державам, що не </w:t>
      </w:r>
      <w:r w:rsidR="002A5478">
        <w:rPr>
          <w:lang w:val="uk-UA"/>
        </w:rPr>
        <w:t xml:space="preserve">усяка відмінність у поводженні являється </w:t>
      </w:r>
      <w:r w:rsidR="002A5478" w:rsidRPr="002A5478">
        <w:rPr>
          <w:lang w:val="uk-UA"/>
        </w:rPr>
        <w:t xml:space="preserve">дискримінацію, якщо критерії для такої </w:t>
      </w:r>
      <w:r w:rsidR="002A5478" w:rsidRPr="002A5478">
        <w:rPr>
          <w:lang w:val="uk-UA"/>
        </w:rPr>
        <w:lastRenderedPageBreak/>
        <w:t xml:space="preserve">відмінності </w:t>
      </w:r>
      <w:r w:rsidR="002A5478">
        <w:rPr>
          <w:lang w:val="uk-UA"/>
        </w:rPr>
        <w:t>є обґ</w:t>
      </w:r>
      <w:r w:rsidR="002A5478" w:rsidRPr="002A5478">
        <w:rPr>
          <w:lang w:val="uk-UA"/>
        </w:rPr>
        <w:t>рунтован</w:t>
      </w:r>
      <w:r w:rsidR="002A5478">
        <w:rPr>
          <w:lang w:val="uk-UA"/>
        </w:rPr>
        <w:t xml:space="preserve">ими і об’єктивними, а мета, яку планується досягти, є законною </w:t>
      </w:r>
      <w:r w:rsidR="002A5478" w:rsidRPr="002A5478">
        <w:rPr>
          <w:lang w:val="uk-UA"/>
        </w:rPr>
        <w:t>з точки зору Конвенції</w:t>
      </w:r>
      <w:r w:rsidRPr="00A95CFF">
        <w:rPr>
          <w:sz w:val="18"/>
          <w:vertAlign w:val="superscript"/>
          <w:lang w:val="uk-UA"/>
        </w:rPr>
        <w:footnoteReference w:id="8"/>
      </w:r>
      <w:r w:rsidRPr="00A95CFF">
        <w:rPr>
          <w:lang w:val="uk-UA"/>
        </w:rPr>
        <w:t>.</w:t>
      </w:r>
    </w:p>
    <w:p w:rsidR="00A007F8" w:rsidRPr="00CF7341" w:rsidRDefault="00A007F8" w:rsidP="0067613A">
      <w:pPr>
        <w:pStyle w:val="H1GR"/>
        <w:rPr>
          <w:lang w:val="uk-UA"/>
        </w:rPr>
      </w:pPr>
      <w:r w:rsidRPr="00A007F8">
        <w:tab/>
      </w:r>
      <w:r w:rsidRPr="00CF7341">
        <w:rPr>
          <w:lang w:val="uk-UA"/>
        </w:rPr>
        <w:t>C.</w:t>
      </w:r>
      <w:r w:rsidRPr="00CF7341">
        <w:rPr>
          <w:lang w:val="uk-UA"/>
        </w:rPr>
        <w:tab/>
        <w:t>На</w:t>
      </w:r>
      <w:r w:rsidR="003A4962" w:rsidRPr="00CF7341">
        <w:rPr>
          <w:lang w:val="uk-UA"/>
        </w:rPr>
        <w:t>йкращі інтереси дитини</w:t>
      </w:r>
      <w:bookmarkStart w:id="6" w:name="_Toc468797238"/>
      <w:bookmarkEnd w:id="6"/>
    </w:p>
    <w:p w:rsidR="00CF7341" w:rsidRDefault="00A007F8" w:rsidP="00A007F8">
      <w:pPr>
        <w:pStyle w:val="SingleTxtGR"/>
        <w:rPr>
          <w:lang w:val="uk-UA"/>
        </w:rPr>
      </w:pPr>
      <w:r w:rsidRPr="00CF7341">
        <w:rPr>
          <w:lang w:val="uk-UA"/>
        </w:rPr>
        <w:t>22.</w:t>
      </w:r>
      <w:r w:rsidRPr="00CF7341">
        <w:rPr>
          <w:lang w:val="uk-UA"/>
        </w:rPr>
        <w:tab/>
      </w:r>
      <w:r w:rsidR="00CF7341" w:rsidRPr="00CF7341">
        <w:rPr>
          <w:lang w:val="uk-UA"/>
        </w:rPr>
        <w:t xml:space="preserve">Право дитини на те, щоб її найкращі інтереси </w:t>
      </w:r>
      <w:r w:rsidR="00CF7341">
        <w:rPr>
          <w:lang w:val="uk-UA"/>
        </w:rPr>
        <w:t xml:space="preserve">враховувалися </w:t>
      </w:r>
      <w:r w:rsidR="00CF7341" w:rsidRPr="00CF7341">
        <w:rPr>
          <w:lang w:val="uk-UA"/>
        </w:rPr>
        <w:t xml:space="preserve">в якості першочергового міркування, є одним з основних прав, </w:t>
      </w:r>
      <w:r w:rsidR="00CF7341">
        <w:rPr>
          <w:lang w:val="uk-UA"/>
        </w:rPr>
        <w:t xml:space="preserve">пояснювальним </w:t>
      </w:r>
      <w:r w:rsidR="00CF7341" w:rsidRPr="00CF7341">
        <w:rPr>
          <w:lang w:val="uk-UA"/>
        </w:rPr>
        <w:t xml:space="preserve">нормативним принципом і </w:t>
      </w:r>
      <w:r w:rsidR="00CF7341">
        <w:rPr>
          <w:lang w:val="uk-UA"/>
        </w:rPr>
        <w:t>процедурною нормою</w:t>
      </w:r>
      <w:r w:rsidR="00CF7341" w:rsidRPr="00CF7341">
        <w:rPr>
          <w:lang w:val="uk-UA"/>
        </w:rPr>
        <w:t xml:space="preserve">, </w:t>
      </w:r>
      <w:r w:rsidR="00CF7341">
        <w:rPr>
          <w:lang w:val="uk-UA"/>
        </w:rPr>
        <w:t xml:space="preserve">що </w:t>
      </w:r>
      <w:r w:rsidR="00CF7341" w:rsidRPr="00CF7341">
        <w:rPr>
          <w:lang w:val="uk-UA"/>
        </w:rPr>
        <w:t>поширюється як окрем</w:t>
      </w:r>
      <w:r w:rsidR="00CF7341">
        <w:rPr>
          <w:lang w:val="uk-UA"/>
        </w:rPr>
        <w:t>их</w:t>
      </w:r>
      <w:r w:rsidR="00CF7341" w:rsidRPr="00CF7341">
        <w:rPr>
          <w:lang w:val="uk-UA"/>
        </w:rPr>
        <w:t xml:space="preserve"> дітей, так і на групи дітей</w:t>
      </w:r>
      <w:r w:rsidR="00CF7341" w:rsidRPr="00CF7341">
        <w:rPr>
          <w:sz w:val="18"/>
          <w:vertAlign w:val="superscript"/>
          <w:lang w:val="uk-UA"/>
        </w:rPr>
        <w:footnoteReference w:id="9"/>
      </w:r>
      <w:r w:rsidR="00CF7341">
        <w:rPr>
          <w:lang w:val="uk-UA"/>
        </w:rPr>
        <w:t>. У</w:t>
      </w:r>
      <w:r w:rsidR="00CF7341" w:rsidRPr="00CF7341">
        <w:rPr>
          <w:lang w:val="uk-UA"/>
        </w:rPr>
        <w:t xml:space="preserve">сі заходи </w:t>
      </w:r>
      <w:r w:rsidR="00CF7341">
        <w:rPr>
          <w:lang w:val="uk-UA"/>
        </w:rPr>
        <w:t>з впровадження</w:t>
      </w:r>
      <w:r w:rsidR="00CF7341" w:rsidRPr="00CF7341">
        <w:rPr>
          <w:lang w:val="uk-UA"/>
        </w:rPr>
        <w:t xml:space="preserve"> Конвенції, включаючи законодавство, політику, економічн</w:t>
      </w:r>
      <w:r w:rsidR="00CF7341">
        <w:rPr>
          <w:lang w:val="uk-UA"/>
        </w:rPr>
        <w:t>о-</w:t>
      </w:r>
      <w:r w:rsidR="00CF7341" w:rsidRPr="00CF7341">
        <w:rPr>
          <w:lang w:val="uk-UA"/>
        </w:rPr>
        <w:t xml:space="preserve">соціальне планування, прийняття рішень і бюджетні рішення, повинні </w:t>
      </w:r>
      <w:r w:rsidR="00CF7341">
        <w:rPr>
          <w:lang w:val="uk-UA"/>
        </w:rPr>
        <w:t>виконуватися</w:t>
      </w:r>
      <w:r w:rsidR="00CF7341" w:rsidRPr="00CF7341">
        <w:rPr>
          <w:lang w:val="uk-UA"/>
        </w:rPr>
        <w:t xml:space="preserve"> відповідно до процедур, </w:t>
      </w:r>
      <w:r w:rsidR="00CF7341">
        <w:rPr>
          <w:lang w:val="uk-UA"/>
        </w:rPr>
        <w:t xml:space="preserve">що </w:t>
      </w:r>
      <w:r w:rsidR="00CF7341" w:rsidRPr="00CF7341">
        <w:rPr>
          <w:lang w:val="uk-UA"/>
        </w:rPr>
        <w:t>забезпечують</w:t>
      </w:r>
      <w:r w:rsidR="00CF7341">
        <w:rPr>
          <w:lang w:val="uk-UA"/>
        </w:rPr>
        <w:t xml:space="preserve"> прийняття найкращих інтересів дитини</w:t>
      </w:r>
      <w:r w:rsidR="00CF7341" w:rsidRPr="00CF7341">
        <w:rPr>
          <w:lang w:val="uk-UA"/>
        </w:rPr>
        <w:t xml:space="preserve">, в тому числі підлітків, </w:t>
      </w:r>
      <w:r w:rsidR="00CF7341">
        <w:rPr>
          <w:lang w:val="uk-UA"/>
        </w:rPr>
        <w:t>як першочергового міркування в усіх діях</w:t>
      </w:r>
      <w:r w:rsidR="00CF7341" w:rsidRPr="00CF7341">
        <w:rPr>
          <w:lang w:val="uk-UA"/>
        </w:rPr>
        <w:t xml:space="preserve">, що </w:t>
      </w:r>
      <w:r w:rsidR="00CF7341">
        <w:rPr>
          <w:lang w:val="uk-UA"/>
        </w:rPr>
        <w:t xml:space="preserve">їх </w:t>
      </w:r>
      <w:r w:rsidR="00CF7341" w:rsidRPr="00CF7341">
        <w:rPr>
          <w:lang w:val="uk-UA"/>
        </w:rPr>
        <w:t xml:space="preserve">стосуються. У світлі свого зауваження загального порядку № 14 (2013) про право дитини на </w:t>
      </w:r>
      <w:r w:rsidR="00CF7341">
        <w:rPr>
          <w:lang w:val="uk-UA"/>
        </w:rPr>
        <w:t>першочергову увагу до</w:t>
      </w:r>
      <w:r w:rsidR="00CF7341" w:rsidRPr="00CF7341">
        <w:rPr>
          <w:lang w:val="uk-UA"/>
        </w:rPr>
        <w:t xml:space="preserve"> якнайкращо</w:t>
      </w:r>
      <w:r w:rsidR="00CF7341">
        <w:rPr>
          <w:lang w:val="uk-UA"/>
        </w:rPr>
        <w:t xml:space="preserve">го забезпечення </w:t>
      </w:r>
      <w:r w:rsidR="00CF7341" w:rsidRPr="00CF7341">
        <w:rPr>
          <w:lang w:val="uk-UA"/>
        </w:rPr>
        <w:t>її інтересів</w:t>
      </w:r>
      <w:r w:rsidR="00CF7341">
        <w:rPr>
          <w:lang w:val="uk-UA"/>
        </w:rPr>
        <w:t>,</w:t>
      </w:r>
      <w:r w:rsidR="00CF7341" w:rsidRPr="00CF7341">
        <w:rPr>
          <w:lang w:val="uk-UA"/>
        </w:rPr>
        <w:t xml:space="preserve"> Комітет </w:t>
      </w:r>
      <w:r w:rsidR="00CF7341">
        <w:rPr>
          <w:lang w:val="uk-UA"/>
        </w:rPr>
        <w:t>наголошує</w:t>
      </w:r>
      <w:r w:rsidR="00CF7341" w:rsidRPr="00CF7341">
        <w:rPr>
          <w:lang w:val="uk-UA"/>
        </w:rPr>
        <w:t xml:space="preserve">, що при визначенні найкращих інтересів </w:t>
      </w:r>
      <w:r w:rsidR="00CF7341">
        <w:rPr>
          <w:lang w:val="uk-UA"/>
        </w:rPr>
        <w:t xml:space="preserve">мають враховуватися </w:t>
      </w:r>
      <w:r w:rsidR="00CF7341" w:rsidRPr="00CF7341">
        <w:rPr>
          <w:lang w:val="uk-UA"/>
        </w:rPr>
        <w:t>думки дітей відповідно до їх здібност</w:t>
      </w:r>
      <w:r w:rsidR="00CF7341">
        <w:rPr>
          <w:lang w:val="uk-UA"/>
        </w:rPr>
        <w:t>ей, що розвиваються</w:t>
      </w:r>
      <w:r w:rsidR="00CF7341" w:rsidRPr="00CF7341">
        <w:rPr>
          <w:sz w:val="18"/>
          <w:vertAlign w:val="superscript"/>
          <w:lang w:val="uk-UA"/>
        </w:rPr>
        <w:footnoteReference w:id="10"/>
      </w:r>
      <w:r w:rsidR="00CF7341">
        <w:rPr>
          <w:lang w:val="uk-UA"/>
        </w:rPr>
        <w:t xml:space="preserve">, і </w:t>
      </w:r>
      <w:r w:rsidR="00CF7341" w:rsidRPr="00CF7341">
        <w:rPr>
          <w:lang w:val="uk-UA"/>
        </w:rPr>
        <w:t>з урахуванням особлив</w:t>
      </w:r>
      <w:r w:rsidR="00CF7341">
        <w:rPr>
          <w:lang w:val="uk-UA"/>
        </w:rPr>
        <w:t>остей дитини. Державам</w:t>
      </w:r>
      <w:r w:rsidR="00CF7341" w:rsidRPr="00CF7341">
        <w:rPr>
          <w:lang w:val="uk-UA"/>
        </w:rPr>
        <w:t xml:space="preserve"> необхідно </w:t>
      </w:r>
      <w:r w:rsidR="00CF7341">
        <w:rPr>
          <w:lang w:val="uk-UA"/>
        </w:rPr>
        <w:t>вживати заходів</w:t>
      </w:r>
      <w:r w:rsidR="00CF7341" w:rsidRPr="00CF7341">
        <w:rPr>
          <w:lang w:val="uk-UA"/>
        </w:rPr>
        <w:t xml:space="preserve">, щоб думкам підлітків </w:t>
      </w:r>
      <w:r w:rsidR="00CF7341">
        <w:rPr>
          <w:lang w:val="uk-UA"/>
        </w:rPr>
        <w:t xml:space="preserve">надавалося належне </w:t>
      </w:r>
      <w:r w:rsidR="00CF7341" w:rsidRPr="00CF7341">
        <w:rPr>
          <w:lang w:val="uk-UA"/>
        </w:rPr>
        <w:t xml:space="preserve">значення </w:t>
      </w:r>
      <w:r w:rsidR="00CF7341">
        <w:rPr>
          <w:lang w:val="uk-UA"/>
        </w:rPr>
        <w:t xml:space="preserve">з розвитком їх розуміння </w:t>
      </w:r>
      <w:r w:rsidR="00CF7341" w:rsidRPr="00CF7341">
        <w:rPr>
          <w:lang w:val="uk-UA"/>
        </w:rPr>
        <w:t>суті речей і доросліша</w:t>
      </w:r>
      <w:r w:rsidR="00CF7341">
        <w:rPr>
          <w:lang w:val="uk-UA"/>
        </w:rPr>
        <w:t xml:space="preserve">ння. </w:t>
      </w:r>
    </w:p>
    <w:p w:rsidR="00A007F8" w:rsidRPr="00CF7341" w:rsidRDefault="00A007F8" w:rsidP="0067613A">
      <w:pPr>
        <w:pStyle w:val="H1GR"/>
        <w:rPr>
          <w:lang w:val="uk-UA"/>
        </w:rPr>
      </w:pPr>
      <w:r w:rsidRPr="00CF7341">
        <w:rPr>
          <w:lang w:val="uk-UA"/>
        </w:rPr>
        <w:tab/>
        <w:t>D.</w:t>
      </w:r>
      <w:r w:rsidRPr="00CF7341">
        <w:rPr>
          <w:lang w:val="uk-UA"/>
        </w:rPr>
        <w:tab/>
        <w:t>Право б</w:t>
      </w:r>
      <w:r w:rsidR="003A4962" w:rsidRPr="00CF7341">
        <w:rPr>
          <w:lang w:val="uk-UA"/>
        </w:rPr>
        <w:t>ути заслуханим та право на участь</w:t>
      </w:r>
      <w:bookmarkStart w:id="7" w:name="_Toc468797239"/>
      <w:bookmarkEnd w:id="7"/>
    </w:p>
    <w:p w:rsidR="005F4DA4" w:rsidRDefault="00A007F8" w:rsidP="00A007F8">
      <w:pPr>
        <w:pStyle w:val="SingleTxtGR"/>
        <w:rPr>
          <w:lang w:val="uk-UA"/>
        </w:rPr>
      </w:pPr>
      <w:r w:rsidRPr="00CF7341">
        <w:rPr>
          <w:lang w:val="uk-UA"/>
        </w:rPr>
        <w:t>23.</w:t>
      </w:r>
      <w:r w:rsidRPr="00CF7341">
        <w:rPr>
          <w:lang w:val="uk-UA"/>
        </w:rPr>
        <w:tab/>
      </w:r>
      <w:r w:rsidR="005F4DA4">
        <w:rPr>
          <w:lang w:val="uk-UA"/>
        </w:rPr>
        <w:t>Відповідно до С</w:t>
      </w:r>
      <w:r w:rsidR="005F4DA4" w:rsidRPr="005F4DA4">
        <w:rPr>
          <w:lang w:val="uk-UA"/>
        </w:rPr>
        <w:t>татті 12 Конвенції держави-учасни</w:t>
      </w:r>
      <w:r w:rsidR="005F4DA4">
        <w:rPr>
          <w:lang w:val="uk-UA"/>
        </w:rPr>
        <w:t xml:space="preserve">ці </w:t>
      </w:r>
      <w:r w:rsidR="005F4DA4" w:rsidRPr="005F4DA4">
        <w:rPr>
          <w:lang w:val="uk-UA"/>
        </w:rPr>
        <w:t xml:space="preserve">повинні вжити заходів, щоб гарантувати підліткам право висловлювати свої погляди </w:t>
      </w:r>
      <w:r w:rsidR="005F4DA4">
        <w:rPr>
          <w:lang w:val="uk-UA"/>
        </w:rPr>
        <w:t xml:space="preserve">щодо </w:t>
      </w:r>
      <w:r w:rsidR="005F4DA4" w:rsidRPr="005F4DA4">
        <w:rPr>
          <w:lang w:val="uk-UA"/>
        </w:rPr>
        <w:t>усіх питань</w:t>
      </w:r>
      <w:r w:rsidR="005F4DA4">
        <w:rPr>
          <w:lang w:val="uk-UA"/>
        </w:rPr>
        <w:t>, що їх торкаються,</w:t>
      </w:r>
      <w:r w:rsidR="005F4DA4" w:rsidRPr="005F4DA4">
        <w:rPr>
          <w:lang w:val="uk-UA"/>
        </w:rPr>
        <w:t xml:space="preserve"> </w:t>
      </w:r>
      <w:r w:rsidR="005F4DA4">
        <w:rPr>
          <w:lang w:val="uk-UA"/>
        </w:rPr>
        <w:t xml:space="preserve">згідно з їхнім віком </w:t>
      </w:r>
      <w:r w:rsidR="005F4DA4" w:rsidRPr="005F4DA4">
        <w:rPr>
          <w:lang w:val="uk-UA"/>
        </w:rPr>
        <w:t>і зрілістю</w:t>
      </w:r>
      <w:r w:rsidR="005F4DA4">
        <w:rPr>
          <w:lang w:val="uk-UA"/>
        </w:rPr>
        <w:t>,</w:t>
      </w:r>
      <w:r w:rsidR="005F4DA4" w:rsidRPr="005F4DA4">
        <w:rPr>
          <w:lang w:val="uk-UA"/>
        </w:rPr>
        <w:t xml:space="preserve"> і забезпечувати, щоб ці погляди належним чином враховувалися, зокрема, </w:t>
      </w:r>
      <w:r w:rsidR="005F4DA4">
        <w:rPr>
          <w:lang w:val="uk-UA"/>
        </w:rPr>
        <w:t>у рішеннях</w:t>
      </w:r>
      <w:r w:rsidR="005F4DA4" w:rsidRPr="005F4DA4">
        <w:rPr>
          <w:lang w:val="uk-UA"/>
        </w:rPr>
        <w:t>, що стосуються їх</w:t>
      </w:r>
      <w:r w:rsidR="005F4DA4">
        <w:rPr>
          <w:lang w:val="uk-UA"/>
        </w:rPr>
        <w:t>ньої освіти, здоров’</w:t>
      </w:r>
      <w:r w:rsidR="005F4DA4" w:rsidRPr="005F4DA4">
        <w:rPr>
          <w:lang w:val="uk-UA"/>
        </w:rPr>
        <w:t>я, сексуальності, сі</w:t>
      </w:r>
      <w:r w:rsidR="005F4DA4">
        <w:rPr>
          <w:lang w:val="uk-UA"/>
        </w:rPr>
        <w:t>мейного життя і в ході судових та</w:t>
      </w:r>
      <w:r w:rsidR="005F4DA4" w:rsidRPr="005F4DA4">
        <w:rPr>
          <w:lang w:val="uk-UA"/>
        </w:rPr>
        <w:t xml:space="preserve"> адміністративних </w:t>
      </w:r>
      <w:r w:rsidR="005F4DA4">
        <w:rPr>
          <w:lang w:val="uk-UA"/>
        </w:rPr>
        <w:t>розглядів</w:t>
      </w:r>
      <w:r w:rsidR="005F4DA4" w:rsidRPr="005F4DA4">
        <w:rPr>
          <w:lang w:val="uk-UA"/>
        </w:rPr>
        <w:t>. Держави повинні забезпечувати</w:t>
      </w:r>
      <w:r w:rsidR="005F4DA4">
        <w:rPr>
          <w:lang w:val="uk-UA"/>
        </w:rPr>
        <w:t xml:space="preserve"> участь </w:t>
      </w:r>
      <w:r w:rsidR="005F4DA4" w:rsidRPr="005F4DA4">
        <w:rPr>
          <w:lang w:val="uk-UA"/>
        </w:rPr>
        <w:t>підлітк</w:t>
      </w:r>
      <w:r w:rsidR="005F4DA4">
        <w:rPr>
          <w:lang w:val="uk-UA"/>
        </w:rPr>
        <w:t xml:space="preserve">ів у </w:t>
      </w:r>
      <w:r w:rsidR="005F4DA4" w:rsidRPr="005F4DA4">
        <w:rPr>
          <w:lang w:val="uk-UA"/>
        </w:rPr>
        <w:t xml:space="preserve">розробці, </w:t>
      </w:r>
      <w:r w:rsidR="005F4DA4">
        <w:rPr>
          <w:lang w:val="uk-UA"/>
        </w:rPr>
        <w:t>впровадженні та моніторингу виконання</w:t>
      </w:r>
      <w:r w:rsidR="005F4DA4" w:rsidRPr="005F4DA4">
        <w:rPr>
          <w:lang w:val="uk-UA"/>
        </w:rPr>
        <w:t xml:space="preserve"> всіх відповідних законодавчих актів, політики, послуг і програм, </w:t>
      </w:r>
      <w:r w:rsidR="005F4DA4">
        <w:rPr>
          <w:lang w:val="uk-UA"/>
        </w:rPr>
        <w:t>що впливають на їхнє життя на рівні школи та громади</w:t>
      </w:r>
      <w:r w:rsidR="005F4DA4" w:rsidRPr="005F4DA4">
        <w:rPr>
          <w:lang w:val="uk-UA"/>
        </w:rPr>
        <w:t xml:space="preserve">, </w:t>
      </w:r>
      <w:r w:rsidR="005F4DA4">
        <w:rPr>
          <w:lang w:val="uk-UA"/>
        </w:rPr>
        <w:t xml:space="preserve">а також на </w:t>
      </w:r>
      <w:r w:rsidR="005F4DA4" w:rsidRPr="005F4DA4">
        <w:rPr>
          <w:lang w:val="uk-UA"/>
        </w:rPr>
        <w:t>місцевому, національному та міжнародному рівнях</w:t>
      </w:r>
      <w:r w:rsidR="005F4DA4" w:rsidRPr="00CF7341">
        <w:rPr>
          <w:sz w:val="18"/>
          <w:vertAlign w:val="superscript"/>
          <w:lang w:val="uk-UA"/>
        </w:rPr>
        <w:footnoteReference w:id="11"/>
      </w:r>
      <w:r w:rsidR="005F4DA4" w:rsidRPr="005F4DA4">
        <w:rPr>
          <w:lang w:val="uk-UA"/>
        </w:rPr>
        <w:t xml:space="preserve">. </w:t>
      </w:r>
      <w:r w:rsidR="005F4DA4">
        <w:rPr>
          <w:lang w:val="uk-UA"/>
        </w:rPr>
        <w:t xml:space="preserve">Онлайн-середовище пропонує значні і дедалі зростаючі </w:t>
      </w:r>
      <w:r w:rsidR="005F4DA4" w:rsidRPr="005F4DA4">
        <w:rPr>
          <w:lang w:val="uk-UA"/>
        </w:rPr>
        <w:t xml:space="preserve">можливості для </w:t>
      </w:r>
      <w:r w:rsidR="005F4DA4">
        <w:rPr>
          <w:lang w:val="uk-UA"/>
        </w:rPr>
        <w:t xml:space="preserve">посилення та </w:t>
      </w:r>
      <w:r w:rsidR="005F4DA4" w:rsidRPr="005F4DA4">
        <w:rPr>
          <w:lang w:val="uk-UA"/>
        </w:rPr>
        <w:t>розширен</w:t>
      </w:r>
      <w:r w:rsidR="005F4DA4">
        <w:rPr>
          <w:lang w:val="uk-UA"/>
        </w:rPr>
        <w:t xml:space="preserve">ня їх </w:t>
      </w:r>
      <w:r w:rsidR="005F4DA4" w:rsidRPr="005F4DA4">
        <w:rPr>
          <w:lang w:val="uk-UA"/>
        </w:rPr>
        <w:t xml:space="preserve">участі. Ці заходи повинні супроводжуватися впровадженням безпечних і доступних механізмів </w:t>
      </w:r>
      <w:r w:rsidR="005F4DA4">
        <w:rPr>
          <w:lang w:val="uk-UA"/>
        </w:rPr>
        <w:t xml:space="preserve">оскарження </w:t>
      </w:r>
      <w:r w:rsidR="005F4DA4" w:rsidRPr="005F4DA4">
        <w:rPr>
          <w:lang w:val="uk-UA"/>
        </w:rPr>
        <w:t xml:space="preserve">і отримання компенсацій в органі з розгляду скарг підлітків, а також забезпеченням доступу до </w:t>
      </w:r>
      <w:r w:rsidR="005F4DA4">
        <w:rPr>
          <w:lang w:val="uk-UA"/>
        </w:rPr>
        <w:t>пільгових або безкоштовних</w:t>
      </w:r>
      <w:r w:rsidR="005F4DA4" w:rsidRPr="005F4DA4">
        <w:rPr>
          <w:lang w:val="uk-UA"/>
        </w:rPr>
        <w:t xml:space="preserve"> юридичних послуг та інш</w:t>
      </w:r>
      <w:r w:rsidR="005F4DA4">
        <w:rPr>
          <w:lang w:val="uk-UA"/>
        </w:rPr>
        <w:t xml:space="preserve">их видів </w:t>
      </w:r>
      <w:r w:rsidR="005F4DA4" w:rsidRPr="005F4DA4">
        <w:rPr>
          <w:lang w:val="uk-UA"/>
        </w:rPr>
        <w:t>допомоги</w:t>
      </w:r>
      <w:r w:rsidR="005F4DA4">
        <w:rPr>
          <w:lang w:val="uk-UA"/>
        </w:rPr>
        <w:t xml:space="preserve">. </w:t>
      </w:r>
    </w:p>
    <w:p w:rsidR="001027DA" w:rsidRDefault="00A007F8" w:rsidP="00A007F8">
      <w:pPr>
        <w:pStyle w:val="SingleTxtGR"/>
        <w:rPr>
          <w:lang w:val="uk-UA"/>
        </w:rPr>
      </w:pPr>
      <w:r w:rsidRPr="00CF7341">
        <w:rPr>
          <w:lang w:val="uk-UA"/>
        </w:rPr>
        <w:t>24.</w:t>
      </w:r>
      <w:r w:rsidRPr="00CF7341">
        <w:rPr>
          <w:lang w:val="uk-UA"/>
        </w:rPr>
        <w:tab/>
      </w:r>
      <w:r w:rsidR="001027DA" w:rsidRPr="001027DA">
        <w:rPr>
          <w:lang w:val="uk-UA"/>
        </w:rPr>
        <w:t xml:space="preserve">Комітет </w:t>
      </w:r>
      <w:r w:rsidR="001027DA">
        <w:rPr>
          <w:lang w:val="uk-UA"/>
        </w:rPr>
        <w:t xml:space="preserve">наголошує на </w:t>
      </w:r>
      <w:r w:rsidR="001027DA" w:rsidRPr="001027DA">
        <w:rPr>
          <w:lang w:val="uk-UA"/>
        </w:rPr>
        <w:t>важлив</w:t>
      </w:r>
      <w:r w:rsidR="001027DA">
        <w:rPr>
          <w:lang w:val="uk-UA"/>
        </w:rPr>
        <w:t xml:space="preserve">ості </w:t>
      </w:r>
      <w:r w:rsidR="001027DA" w:rsidRPr="001027DA">
        <w:rPr>
          <w:lang w:val="uk-UA"/>
        </w:rPr>
        <w:t xml:space="preserve">участі </w:t>
      </w:r>
      <w:r w:rsidR="001027DA">
        <w:rPr>
          <w:lang w:val="uk-UA"/>
        </w:rPr>
        <w:t xml:space="preserve">як </w:t>
      </w:r>
      <w:r w:rsidR="001027DA" w:rsidRPr="001027DA">
        <w:rPr>
          <w:lang w:val="uk-UA"/>
        </w:rPr>
        <w:t>засобу політично</w:t>
      </w:r>
      <w:r w:rsidR="001027DA">
        <w:rPr>
          <w:lang w:val="uk-UA"/>
        </w:rPr>
        <w:t xml:space="preserve">ї </w:t>
      </w:r>
      <w:r w:rsidR="001027DA" w:rsidRPr="001027DA">
        <w:rPr>
          <w:lang w:val="uk-UA"/>
        </w:rPr>
        <w:t>і громадянсько</w:t>
      </w:r>
      <w:r w:rsidR="001027DA">
        <w:rPr>
          <w:lang w:val="uk-UA"/>
        </w:rPr>
        <w:t>ї взаємодії</w:t>
      </w:r>
      <w:r w:rsidR="001027DA" w:rsidRPr="001027DA">
        <w:rPr>
          <w:lang w:val="uk-UA"/>
        </w:rPr>
        <w:t xml:space="preserve">, за допомогою якого підлітки можуть </w:t>
      </w:r>
      <w:r w:rsidR="001027DA">
        <w:rPr>
          <w:lang w:val="uk-UA"/>
        </w:rPr>
        <w:t xml:space="preserve">домовлятися та добиватися реалізації своїх прав, та притягати держави </w:t>
      </w:r>
      <w:r w:rsidR="001027DA" w:rsidRPr="001027DA">
        <w:rPr>
          <w:lang w:val="uk-UA"/>
        </w:rPr>
        <w:t xml:space="preserve">до відповідальності. Держави повинні </w:t>
      </w:r>
      <w:r w:rsidR="001027DA">
        <w:rPr>
          <w:lang w:val="uk-UA"/>
        </w:rPr>
        <w:t xml:space="preserve">ухвалити </w:t>
      </w:r>
      <w:r w:rsidR="001027DA" w:rsidRPr="001027DA">
        <w:rPr>
          <w:lang w:val="uk-UA"/>
        </w:rPr>
        <w:t xml:space="preserve">політику, </w:t>
      </w:r>
      <w:r w:rsidR="001027DA">
        <w:rPr>
          <w:lang w:val="uk-UA"/>
        </w:rPr>
        <w:t xml:space="preserve">покликану розширити </w:t>
      </w:r>
      <w:r w:rsidR="001027DA" w:rsidRPr="001027DA">
        <w:rPr>
          <w:lang w:val="uk-UA"/>
        </w:rPr>
        <w:t>можливост</w:t>
      </w:r>
      <w:r w:rsidR="001027DA">
        <w:rPr>
          <w:lang w:val="uk-UA"/>
        </w:rPr>
        <w:t>і</w:t>
      </w:r>
      <w:r w:rsidR="001027DA" w:rsidRPr="001027DA">
        <w:rPr>
          <w:lang w:val="uk-UA"/>
        </w:rPr>
        <w:t xml:space="preserve"> для участі в політичному житті, що </w:t>
      </w:r>
      <w:r w:rsidR="001027DA">
        <w:rPr>
          <w:lang w:val="uk-UA"/>
        </w:rPr>
        <w:t>відіграє важливу роль у</w:t>
      </w:r>
      <w:r w:rsidR="001027DA" w:rsidRPr="001027DA">
        <w:rPr>
          <w:lang w:val="uk-UA"/>
        </w:rPr>
        <w:t xml:space="preserve"> розвитку активної громадянської позиції. Підлітки можуть </w:t>
      </w:r>
      <w:r w:rsidR="001027DA">
        <w:rPr>
          <w:lang w:val="uk-UA"/>
        </w:rPr>
        <w:t>взаємодіяти з однолітками, брати участь у</w:t>
      </w:r>
      <w:r w:rsidR="001027DA" w:rsidRPr="001027DA">
        <w:rPr>
          <w:lang w:val="uk-UA"/>
        </w:rPr>
        <w:t xml:space="preserve"> політичних процесах і </w:t>
      </w:r>
      <w:r w:rsidR="001027DA">
        <w:rPr>
          <w:lang w:val="uk-UA"/>
        </w:rPr>
        <w:t xml:space="preserve">розвивати </w:t>
      </w:r>
      <w:r w:rsidR="001027DA" w:rsidRPr="001027DA">
        <w:rPr>
          <w:lang w:val="uk-UA"/>
        </w:rPr>
        <w:t xml:space="preserve">свою здатність до активних дій, щоб приймати обґрунтовані рішення і робити вибір, і тому </w:t>
      </w:r>
      <w:r w:rsidR="001027DA">
        <w:rPr>
          <w:lang w:val="uk-UA"/>
        </w:rPr>
        <w:t xml:space="preserve">їм потрібна підтримка у питаннях створення </w:t>
      </w:r>
      <w:r w:rsidR="001027DA" w:rsidRPr="001027DA">
        <w:rPr>
          <w:lang w:val="uk-UA"/>
        </w:rPr>
        <w:t xml:space="preserve">організацій, </w:t>
      </w:r>
      <w:r w:rsidR="001027DA">
        <w:rPr>
          <w:lang w:val="uk-UA"/>
        </w:rPr>
        <w:t xml:space="preserve">через які вони </w:t>
      </w:r>
      <w:r w:rsidR="001027DA" w:rsidRPr="001027DA">
        <w:rPr>
          <w:lang w:val="uk-UA"/>
        </w:rPr>
        <w:t>мо</w:t>
      </w:r>
      <w:r w:rsidR="001027DA">
        <w:rPr>
          <w:lang w:val="uk-UA"/>
        </w:rPr>
        <w:t xml:space="preserve">гли б долучатися до різної </w:t>
      </w:r>
      <w:r w:rsidR="001027DA">
        <w:rPr>
          <w:lang w:val="uk-UA"/>
        </w:rPr>
        <w:lastRenderedPageBreak/>
        <w:t xml:space="preserve">діяльності, </w:t>
      </w:r>
      <w:r w:rsidR="001027DA" w:rsidRPr="001027DA">
        <w:rPr>
          <w:lang w:val="uk-UA"/>
        </w:rPr>
        <w:t xml:space="preserve">включаючи електронні </w:t>
      </w:r>
      <w:r w:rsidR="001027DA">
        <w:rPr>
          <w:lang w:val="uk-UA"/>
        </w:rPr>
        <w:t>медіа. Якщо держави</w:t>
      </w:r>
      <w:r w:rsidR="001027DA" w:rsidRPr="001027DA">
        <w:rPr>
          <w:lang w:val="uk-UA"/>
        </w:rPr>
        <w:t xml:space="preserve"> виріш</w:t>
      </w:r>
      <w:r w:rsidR="001027DA">
        <w:rPr>
          <w:lang w:val="uk-UA"/>
        </w:rPr>
        <w:t xml:space="preserve">ують </w:t>
      </w:r>
      <w:r w:rsidR="001027DA" w:rsidRPr="001027DA">
        <w:rPr>
          <w:lang w:val="uk-UA"/>
        </w:rPr>
        <w:t xml:space="preserve">знизити віковий ценз для виборців </w:t>
      </w:r>
      <w:r w:rsidR="001027DA">
        <w:rPr>
          <w:lang w:val="uk-UA"/>
        </w:rPr>
        <w:t>(</w:t>
      </w:r>
      <w:r w:rsidR="001027DA" w:rsidRPr="001027DA">
        <w:rPr>
          <w:lang w:val="uk-UA"/>
        </w:rPr>
        <w:t>молодше 18 років</w:t>
      </w:r>
      <w:r w:rsidR="001027DA">
        <w:rPr>
          <w:lang w:val="uk-UA"/>
        </w:rPr>
        <w:t>)</w:t>
      </w:r>
      <w:r w:rsidR="001027DA" w:rsidRPr="001027DA">
        <w:rPr>
          <w:lang w:val="uk-UA"/>
        </w:rPr>
        <w:t xml:space="preserve">, </w:t>
      </w:r>
      <w:r w:rsidR="001027DA">
        <w:rPr>
          <w:lang w:val="uk-UA"/>
        </w:rPr>
        <w:t xml:space="preserve">то </w:t>
      </w:r>
      <w:r w:rsidR="001027DA" w:rsidRPr="001027DA">
        <w:rPr>
          <w:lang w:val="uk-UA"/>
        </w:rPr>
        <w:t xml:space="preserve">їм </w:t>
      </w:r>
      <w:r w:rsidR="001027DA">
        <w:rPr>
          <w:lang w:val="uk-UA"/>
        </w:rPr>
        <w:t>необхідно інвестувати у заходи</w:t>
      </w:r>
      <w:r w:rsidR="001027DA" w:rsidRPr="001027DA">
        <w:rPr>
          <w:lang w:val="uk-UA"/>
        </w:rPr>
        <w:t xml:space="preserve">, </w:t>
      </w:r>
      <w:r w:rsidR="001027DA">
        <w:rPr>
          <w:lang w:val="uk-UA"/>
        </w:rPr>
        <w:t>що мають допомагати підліткам усвідомлювати, визнавати та виконувати роль активних громадян</w:t>
      </w:r>
      <w:r w:rsidR="001027DA" w:rsidRPr="001027DA">
        <w:rPr>
          <w:lang w:val="uk-UA"/>
        </w:rPr>
        <w:t xml:space="preserve">, в тому числі </w:t>
      </w:r>
      <w:r w:rsidR="001027DA">
        <w:rPr>
          <w:lang w:val="uk-UA"/>
        </w:rPr>
        <w:t xml:space="preserve">шляхом освіти щодо </w:t>
      </w:r>
      <w:r w:rsidR="001027DA" w:rsidRPr="001027DA">
        <w:rPr>
          <w:lang w:val="uk-UA"/>
        </w:rPr>
        <w:t>громадянства і прав людини</w:t>
      </w:r>
      <w:r w:rsidR="001027DA">
        <w:rPr>
          <w:lang w:val="uk-UA"/>
        </w:rPr>
        <w:t xml:space="preserve">, а також за допомогою </w:t>
      </w:r>
      <w:r w:rsidR="001027DA" w:rsidRPr="001027DA">
        <w:rPr>
          <w:lang w:val="uk-UA"/>
        </w:rPr>
        <w:t xml:space="preserve">виявлення і усунення </w:t>
      </w:r>
      <w:r w:rsidR="001027DA">
        <w:rPr>
          <w:lang w:val="uk-UA"/>
        </w:rPr>
        <w:t>бар’єрів на шляху до їхнього залучення і участі.</w:t>
      </w:r>
    </w:p>
    <w:p w:rsidR="001027DA" w:rsidRDefault="00A007F8" w:rsidP="00A007F8">
      <w:pPr>
        <w:pStyle w:val="SingleTxtGR"/>
        <w:rPr>
          <w:lang w:val="uk-UA"/>
        </w:rPr>
      </w:pPr>
      <w:r w:rsidRPr="00CF7341">
        <w:rPr>
          <w:lang w:val="uk-UA"/>
        </w:rPr>
        <w:t>25.</w:t>
      </w:r>
      <w:r w:rsidRPr="00CF7341">
        <w:rPr>
          <w:lang w:val="uk-UA"/>
        </w:rPr>
        <w:tab/>
      </w:r>
      <w:r w:rsidR="001027DA" w:rsidRPr="001027DA">
        <w:rPr>
          <w:lang w:val="uk-UA"/>
        </w:rPr>
        <w:t xml:space="preserve">Комітет </w:t>
      </w:r>
      <w:r w:rsidR="001027DA">
        <w:rPr>
          <w:lang w:val="uk-UA"/>
        </w:rPr>
        <w:t>від</w:t>
      </w:r>
      <w:r w:rsidR="001027DA" w:rsidRPr="001027DA">
        <w:rPr>
          <w:lang w:val="uk-UA"/>
        </w:rPr>
        <w:t xml:space="preserve">значає, що розуміння </w:t>
      </w:r>
      <w:r w:rsidR="001027DA">
        <w:rPr>
          <w:lang w:val="uk-UA"/>
        </w:rPr>
        <w:t xml:space="preserve">й обізнаність </w:t>
      </w:r>
      <w:r w:rsidR="001027DA" w:rsidRPr="001027DA">
        <w:rPr>
          <w:lang w:val="uk-UA"/>
        </w:rPr>
        <w:t>доросли</w:t>
      </w:r>
      <w:r w:rsidR="001027DA">
        <w:rPr>
          <w:lang w:val="uk-UA"/>
        </w:rPr>
        <w:t>х про право</w:t>
      </w:r>
      <w:r w:rsidR="001027DA" w:rsidRPr="001027DA">
        <w:rPr>
          <w:lang w:val="uk-UA"/>
        </w:rPr>
        <w:t xml:space="preserve"> підлітків на участь має важливе значення для </w:t>
      </w:r>
      <w:r w:rsidR="001027DA">
        <w:rPr>
          <w:lang w:val="uk-UA"/>
        </w:rPr>
        <w:t xml:space="preserve">реалізації </w:t>
      </w:r>
      <w:r w:rsidR="001027DA" w:rsidRPr="001027DA">
        <w:rPr>
          <w:lang w:val="uk-UA"/>
        </w:rPr>
        <w:t>підлітками цього права, і закликає держави в</w:t>
      </w:r>
      <w:r w:rsidR="001027DA">
        <w:rPr>
          <w:lang w:val="uk-UA"/>
        </w:rPr>
        <w:t>иділяти ресурси на навчання й</w:t>
      </w:r>
      <w:r w:rsidR="001027DA" w:rsidRPr="001027DA">
        <w:rPr>
          <w:lang w:val="uk-UA"/>
        </w:rPr>
        <w:t xml:space="preserve"> підвищення рівня </w:t>
      </w:r>
      <w:r w:rsidR="001027DA">
        <w:rPr>
          <w:lang w:val="uk-UA"/>
        </w:rPr>
        <w:t>по</w:t>
      </w:r>
      <w:r w:rsidR="001027DA" w:rsidRPr="001027DA">
        <w:rPr>
          <w:lang w:val="uk-UA"/>
        </w:rPr>
        <w:t xml:space="preserve">інформованості, особливо серед батьків та </w:t>
      </w:r>
      <w:r w:rsidR="001027DA">
        <w:rPr>
          <w:lang w:val="uk-UA"/>
        </w:rPr>
        <w:t>піклувальників</w:t>
      </w:r>
      <w:r w:rsidR="001027DA" w:rsidRPr="001027DA">
        <w:rPr>
          <w:lang w:val="uk-UA"/>
        </w:rPr>
        <w:t xml:space="preserve">, фахівців, які працюють з підлітками, розробників політики та осіб, які приймають рішення. </w:t>
      </w:r>
      <w:r w:rsidR="001027DA">
        <w:rPr>
          <w:lang w:val="uk-UA"/>
        </w:rPr>
        <w:t xml:space="preserve">Також необхідно підтримувати дорослих у ролі </w:t>
      </w:r>
      <w:r w:rsidR="001027DA" w:rsidRPr="001027DA">
        <w:rPr>
          <w:lang w:val="uk-UA"/>
        </w:rPr>
        <w:t>наставник</w:t>
      </w:r>
      <w:r w:rsidR="001027DA">
        <w:rPr>
          <w:lang w:val="uk-UA"/>
        </w:rPr>
        <w:t xml:space="preserve">ів і </w:t>
      </w:r>
      <w:proofErr w:type="spellStart"/>
      <w:r w:rsidR="001027DA">
        <w:rPr>
          <w:lang w:val="uk-UA"/>
        </w:rPr>
        <w:t>фасилітаторів</w:t>
      </w:r>
      <w:proofErr w:type="spellEnd"/>
      <w:r w:rsidR="001027DA" w:rsidRPr="001027DA">
        <w:rPr>
          <w:lang w:val="uk-UA"/>
        </w:rPr>
        <w:t xml:space="preserve">, </w:t>
      </w:r>
      <w:r w:rsidR="001027DA">
        <w:rPr>
          <w:lang w:val="uk-UA"/>
        </w:rPr>
        <w:t xml:space="preserve">щоб </w:t>
      </w:r>
      <w:r w:rsidR="001027DA" w:rsidRPr="001027DA">
        <w:rPr>
          <w:lang w:val="uk-UA"/>
        </w:rPr>
        <w:t xml:space="preserve">підлітки </w:t>
      </w:r>
      <w:r w:rsidR="001027DA">
        <w:rPr>
          <w:lang w:val="uk-UA"/>
        </w:rPr>
        <w:t xml:space="preserve">брали </w:t>
      </w:r>
      <w:r w:rsidR="001027DA" w:rsidRPr="001027DA">
        <w:rPr>
          <w:lang w:val="uk-UA"/>
        </w:rPr>
        <w:t>на себе більш</w:t>
      </w:r>
      <w:r w:rsidR="001027DA">
        <w:rPr>
          <w:lang w:val="uk-UA"/>
        </w:rPr>
        <w:t>у</w:t>
      </w:r>
      <w:r w:rsidR="001027DA" w:rsidRPr="001027DA">
        <w:rPr>
          <w:lang w:val="uk-UA"/>
        </w:rPr>
        <w:t xml:space="preserve"> відповідальн</w:t>
      </w:r>
      <w:r w:rsidR="001027DA">
        <w:rPr>
          <w:lang w:val="uk-UA"/>
        </w:rPr>
        <w:t xml:space="preserve">ість </w:t>
      </w:r>
      <w:r w:rsidR="001027DA" w:rsidRPr="001027DA">
        <w:rPr>
          <w:lang w:val="uk-UA"/>
        </w:rPr>
        <w:t>за власне життя і життя тих, хто їх оточує</w:t>
      </w:r>
      <w:r w:rsidR="001027DA">
        <w:rPr>
          <w:lang w:val="uk-UA"/>
        </w:rPr>
        <w:t xml:space="preserve">. </w:t>
      </w:r>
    </w:p>
    <w:p w:rsidR="001027DA" w:rsidRPr="001027DA" w:rsidRDefault="001027DA" w:rsidP="00A007F8">
      <w:pPr>
        <w:pStyle w:val="SingleTxtGR"/>
        <w:rPr>
          <w:lang w:val="en-US"/>
        </w:rPr>
      </w:pPr>
    </w:p>
    <w:p w:rsidR="001027DA" w:rsidRDefault="001027DA" w:rsidP="00A007F8">
      <w:pPr>
        <w:pStyle w:val="SingleTxtGR"/>
        <w:rPr>
          <w:lang w:val="uk-UA"/>
        </w:rPr>
      </w:pPr>
    </w:p>
    <w:p w:rsidR="00A007F8" w:rsidRPr="00C46FC3" w:rsidRDefault="00A007F8" w:rsidP="001027DA">
      <w:pPr>
        <w:pStyle w:val="HChGR"/>
        <w:pageBreakBefore/>
        <w:spacing w:before="240"/>
        <w:ind w:left="0" w:firstLine="0"/>
        <w:rPr>
          <w:lang w:val="uk-UA"/>
        </w:rPr>
      </w:pPr>
      <w:r w:rsidRPr="00A007F8">
        <w:lastRenderedPageBreak/>
        <w:tab/>
        <w:t>V.</w:t>
      </w:r>
      <w:r w:rsidRPr="00C46FC3">
        <w:rPr>
          <w:lang w:val="uk-UA"/>
        </w:rPr>
        <w:tab/>
        <w:t>П</w:t>
      </w:r>
      <w:r w:rsidR="00C46FC3">
        <w:rPr>
          <w:lang w:val="uk-UA"/>
        </w:rPr>
        <w:t>ідлітки, які потребують особливої уваги</w:t>
      </w:r>
      <w:bookmarkStart w:id="8" w:name="_Toc468797240"/>
      <w:bookmarkEnd w:id="8"/>
    </w:p>
    <w:p w:rsidR="00A007F8" w:rsidRPr="00C46FC3" w:rsidRDefault="00A007F8" w:rsidP="00054D9F">
      <w:pPr>
        <w:pStyle w:val="SingleTxtGR"/>
        <w:spacing w:line="237" w:lineRule="atLeast"/>
        <w:rPr>
          <w:lang w:val="uk-UA"/>
        </w:rPr>
      </w:pPr>
      <w:r w:rsidRPr="00C46FC3">
        <w:rPr>
          <w:lang w:val="uk-UA"/>
        </w:rPr>
        <w:t>26.</w:t>
      </w:r>
      <w:r w:rsidRPr="00C46FC3">
        <w:rPr>
          <w:lang w:val="uk-UA"/>
        </w:rPr>
        <w:tab/>
      </w:r>
      <w:r w:rsidR="00C46FC3" w:rsidRPr="00C46FC3">
        <w:rPr>
          <w:lang w:val="uk-UA"/>
        </w:rPr>
        <w:t xml:space="preserve">Деякі групи підлітків можуть бути особливо </w:t>
      </w:r>
      <w:r w:rsidR="00C46FC3">
        <w:rPr>
          <w:lang w:val="uk-UA"/>
        </w:rPr>
        <w:t xml:space="preserve">вразливими </w:t>
      </w:r>
      <w:r w:rsidR="00C46FC3" w:rsidRPr="00C46FC3">
        <w:rPr>
          <w:lang w:val="uk-UA"/>
        </w:rPr>
        <w:t>д</w:t>
      </w:r>
      <w:r w:rsidR="00C46FC3">
        <w:rPr>
          <w:lang w:val="uk-UA"/>
        </w:rPr>
        <w:t xml:space="preserve">о </w:t>
      </w:r>
      <w:r w:rsidR="00C46FC3" w:rsidRPr="00C46FC3">
        <w:rPr>
          <w:lang w:val="uk-UA"/>
        </w:rPr>
        <w:t xml:space="preserve">численних </w:t>
      </w:r>
      <w:r w:rsidR="00C46FC3">
        <w:rPr>
          <w:lang w:val="uk-UA"/>
        </w:rPr>
        <w:t xml:space="preserve">чинників </w:t>
      </w:r>
      <w:r w:rsidR="00C46FC3" w:rsidRPr="00C46FC3">
        <w:rPr>
          <w:lang w:val="uk-UA"/>
        </w:rPr>
        <w:t xml:space="preserve">і порушень їх прав, включаючи дискримінацію і соціальне відчуження. </w:t>
      </w:r>
      <w:r w:rsidR="00C46FC3">
        <w:rPr>
          <w:lang w:val="uk-UA"/>
        </w:rPr>
        <w:t xml:space="preserve">Всі заходи, </w:t>
      </w:r>
      <w:r w:rsidR="00C46FC3" w:rsidRPr="00C46FC3">
        <w:rPr>
          <w:lang w:val="uk-UA"/>
        </w:rPr>
        <w:t xml:space="preserve">що вживаються </w:t>
      </w:r>
      <w:r w:rsidR="00C46FC3">
        <w:rPr>
          <w:lang w:val="uk-UA"/>
        </w:rPr>
        <w:t xml:space="preserve">стосовно </w:t>
      </w:r>
      <w:r w:rsidR="00C46FC3" w:rsidRPr="00C46FC3">
        <w:rPr>
          <w:lang w:val="uk-UA"/>
        </w:rPr>
        <w:t xml:space="preserve">законодавства, політики і програм, орієнтованих на підлітків, </w:t>
      </w:r>
      <w:r w:rsidR="00C46FC3">
        <w:rPr>
          <w:lang w:val="uk-UA"/>
        </w:rPr>
        <w:t xml:space="preserve">повинні </w:t>
      </w:r>
      <w:r w:rsidR="00C46FC3" w:rsidRPr="00C46FC3">
        <w:rPr>
          <w:lang w:val="uk-UA"/>
        </w:rPr>
        <w:t>враховувати порушення прав</w:t>
      </w:r>
      <w:r w:rsidR="00C46FC3">
        <w:rPr>
          <w:lang w:val="uk-UA"/>
        </w:rPr>
        <w:t xml:space="preserve">, що перетинаються, а також </w:t>
      </w:r>
      <w:r w:rsidR="00C46FC3" w:rsidRPr="00C46FC3">
        <w:rPr>
          <w:lang w:val="uk-UA"/>
        </w:rPr>
        <w:t>сукупні негативні наслідки для підлітків</w:t>
      </w:r>
      <w:r w:rsidRPr="00C46FC3">
        <w:rPr>
          <w:lang w:val="uk-UA"/>
        </w:rPr>
        <w:t>.</w:t>
      </w:r>
    </w:p>
    <w:p w:rsidR="00A007F8" w:rsidRPr="00C46FC3" w:rsidRDefault="00A007F8" w:rsidP="0067613A">
      <w:pPr>
        <w:pStyle w:val="H23GR"/>
        <w:rPr>
          <w:lang w:val="uk-UA"/>
        </w:rPr>
      </w:pPr>
      <w:r w:rsidRPr="00C46FC3">
        <w:rPr>
          <w:lang w:val="uk-UA"/>
        </w:rPr>
        <w:tab/>
      </w:r>
      <w:r w:rsidRPr="00C46FC3">
        <w:rPr>
          <w:lang w:val="uk-UA"/>
        </w:rPr>
        <w:tab/>
        <w:t>Д</w:t>
      </w:r>
      <w:r w:rsidR="00C46FC3">
        <w:rPr>
          <w:lang w:val="uk-UA"/>
        </w:rPr>
        <w:t>івчата</w:t>
      </w:r>
    </w:p>
    <w:p w:rsidR="00A007F8" w:rsidRPr="00C46FC3" w:rsidRDefault="00A007F8" w:rsidP="00054D9F">
      <w:pPr>
        <w:pStyle w:val="SingleTxtGR"/>
        <w:spacing w:line="238" w:lineRule="atLeast"/>
        <w:rPr>
          <w:lang w:val="uk-UA"/>
        </w:rPr>
      </w:pPr>
      <w:r w:rsidRPr="00C46FC3">
        <w:rPr>
          <w:lang w:val="uk-UA"/>
        </w:rPr>
        <w:t>27.</w:t>
      </w:r>
      <w:r w:rsidRPr="00C46FC3">
        <w:rPr>
          <w:lang w:val="uk-UA"/>
        </w:rPr>
        <w:tab/>
      </w:r>
      <w:r w:rsidR="00C46FC3" w:rsidRPr="00C46FC3">
        <w:rPr>
          <w:lang w:val="uk-UA"/>
        </w:rPr>
        <w:t xml:space="preserve">У підлітковому віці </w:t>
      </w:r>
      <w:r w:rsidR="00C46FC3">
        <w:rPr>
          <w:lang w:val="uk-UA"/>
        </w:rPr>
        <w:t xml:space="preserve">ґендерна </w:t>
      </w:r>
      <w:r w:rsidR="00C46FC3" w:rsidRPr="00C46FC3">
        <w:rPr>
          <w:lang w:val="uk-UA"/>
        </w:rPr>
        <w:t xml:space="preserve">нерівність </w:t>
      </w:r>
      <w:r w:rsidR="00C46FC3">
        <w:rPr>
          <w:lang w:val="uk-UA"/>
        </w:rPr>
        <w:t xml:space="preserve">стає більш </w:t>
      </w:r>
      <w:r w:rsidR="00C46FC3" w:rsidRPr="00C46FC3">
        <w:rPr>
          <w:lang w:val="uk-UA"/>
        </w:rPr>
        <w:t>помітно</w:t>
      </w:r>
      <w:r w:rsidR="00C46FC3">
        <w:rPr>
          <w:lang w:val="uk-UA"/>
        </w:rPr>
        <w:t>ю</w:t>
      </w:r>
      <w:r w:rsidR="00C46FC3" w:rsidRPr="00C46FC3">
        <w:rPr>
          <w:lang w:val="uk-UA"/>
        </w:rPr>
        <w:t>. Прояви дискримінації, нерівності та стереотипів щодо дівчат</w:t>
      </w:r>
      <w:r w:rsidR="00C46FC3">
        <w:rPr>
          <w:lang w:val="uk-UA"/>
        </w:rPr>
        <w:t xml:space="preserve"> часто посилюються</w:t>
      </w:r>
      <w:r w:rsidR="00C46FC3" w:rsidRPr="00C46FC3">
        <w:rPr>
          <w:lang w:val="uk-UA"/>
        </w:rPr>
        <w:t xml:space="preserve">, що </w:t>
      </w:r>
      <w:r w:rsidR="00C46FC3">
        <w:rPr>
          <w:lang w:val="uk-UA"/>
        </w:rPr>
        <w:t xml:space="preserve">призводить </w:t>
      </w:r>
      <w:r w:rsidR="00C46FC3" w:rsidRPr="00C46FC3">
        <w:rPr>
          <w:lang w:val="uk-UA"/>
        </w:rPr>
        <w:t>до більш серйозних порушень їх</w:t>
      </w:r>
      <w:r w:rsidR="00C46FC3">
        <w:rPr>
          <w:lang w:val="uk-UA"/>
        </w:rPr>
        <w:t xml:space="preserve">ніх </w:t>
      </w:r>
      <w:r w:rsidR="00C46FC3" w:rsidRPr="00C46FC3">
        <w:rPr>
          <w:lang w:val="uk-UA"/>
        </w:rPr>
        <w:t xml:space="preserve">прав, </w:t>
      </w:r>
      <w:r w:rsidR="00C46FC3">
        <w:rPr>
          <w:lang w:val="uk-UA"/>
        </w:rPr>
        <w:t>зокрема, дитячих і примусових</w:t>
      </w:r>
      <w:r w:rsidR="00C46FC3" w:rsidRPr="00C46FC3">
        <w:rPr>
          <w:lang w:val="uk-UA"/>
        </w:rPr>
        <w:t xml:space="preserve"> шлюб</w:t>
      </w:r>
      <w:r w:rsidR="00C46FC3">
        <w:rPr>
          <w:lang w:val="uk-UA"/>
        </w:rPr>
        <w:t>ів</w:t>
      </w:r>
      <w:r w:rsidR="00C46FC3" w:rsidRPr="00C46FC3">
        <w:rPr>
          <w:lang w:val="uk-UA"/>
        </w:rPr>
        <w:t>, ранн</w:t>
      </w:r>
      <w:r w:rsidR="00C46FC3">
        <w:rPr>
          <w:lang w:val="uk-UA"/>
        </w:rPr>
        <w:t>іх вагітностей</w:t>
      </w:r>
      <w:r w:rsidR="00C46FC3" w:rsidRPr="00C46FC3">
        <w:rPr>
          <w:lang w:val="uk-UA"/>
        </w:rPr>
        <w:t>, операцій на жіночих статевих органах,</w:t>
      </w:r>
      <w:r w:rsidR="00C46FC3">
        <w:rPr>
          <w:lang w:val="uk-UA"/>
        </w:rPr>
        <w:t xml:space="preserve"> що калічать, зумовленому </w:t>
      </w:r>
      <w:r w:rsidR="00C46FC3" w:rsidRPr="00C46FC3">
        <w:rPr>
          <w:lang w:val="uk-UA"/>
        </w:rPr>
        <w:t>гендерн</w:t>
      </w:r>
      <w:r w:rsidR="00C46FC3">
        <w:rPr>
          <w:lang w:val="uk-UA"/>
        </w:rPr>
        <w:t xml:space="preserve">ій </w:t>
      </w:r>
      <w:r w:rsidR="00C46FC3" w:rsidRPr="00C46FC3">
        <w:rPr>
          <w:lang w:val="uk-UA"/>
        </w:rPr>
        <w:t>прина</w:t>
      </w:r>
      <w:r w:rsidR="00C46FC3">
        <w:rPr>
          <w:lang w:val="uk-UA"/>
        </w:rPr>
        <w:t>лежності фізичному, психічному та</w:t>
      </w:r>
      <w:r w:rsidR="00C46FC3" w:rsidRPr="00C46FC3">
        <w:rPr>
          <w:lang w:val="uk-UA"/>
        </w:rPr>
        <w:t xml:space="preserve"> сексуальному насильству, жорстокому поводженню, експлуатації та торгівлі людьми</w:t>
      </w:r>
      <w:r w:rsidR="00C46FC3" w:rsidRPr="00C46FC3">
        <w:rPr>
          <w:sz w:val="18"/>
          <w:vertAlign w:val="superscript"/>
          <w:lang w:val="uk-UA"/>
        </w:rPr>
        <w:footnoteReference w:id="12"/>
      </w:r>
      <w:r w:rsidR="00C46FC3" w:rsidRPr="00C46FC3">
        <w:rPr>
          <w:lang w:val="uk-UA"/>
        </w:rPr>
        <w:t xml:space="preserve">. Культурні норми, що приписують дівчатам більш низький статус, можуть підвищити ймовірність їх </w:t>
      </w:r>
      <w:r w:rsidR="00C46FC3">
        <w:rPr>
          <w:lang w:val="uk-UA"/>
        </w:rPr>
        <w:t>постійного утримання вдома</w:t>
      </w:r>
      <w:r w:rsidR="00C46FC3" w:rsidRPr="00C46FC3">
        <w:rPr>
          <w:lang w:val="uk-UA"/>
        </w:rPr>
        <w:t>, відсутн</w:t>
      </w:r>
      <w:r w:rsidR="00C46FC3">
        <w:rPr>
          <w:lang w:val="uk-UA"/>
        </w:rPr>
        <w:t xml:space="preserve">ості </w:t>
      </w:r>
      <w:r w:rsidR="00C46FC3" w:rsidRPr="00C46FC3">
        <w:rPr>
          <w:lang w:val="uk-UA"/>
        </w:rPr>
        <w:t>доступу до середньої та вищої освіти, обмежен</w:t>
      </w:r>
      <w:r w:rsidR="00C46FC3">
        <w:rPr>
          <w:lang w:val="uk-UA"/>
        </w:rPr>
        <w:t xml:space="preserve">их </w:t>
      </w:r>
      <w:r w:rsidR="00C46FC3" w:rsidRPr="00C46FC3">
        <w:rPr>
          <w:lang w:val="uk-UA"/>
        </w:rPr>
        <w:t>можливостей для дозвілля, спорт</w:t>
      </w:r>
      <w:r w:rsidR="00C46FC3">
        <w:rPr>
          <w:lang w:val="uk-UA"/>
        </w:rPr>
        <w:t>у</w:t>
      </w:r>
      <w:r w:rsidR="00C46FC3" w:rsidRPr="00C46FC3">
        <w:rPr>
          <w:lang w:val="uk-UA"/>
        </w:rPr>
        <w:t xml:space="preserve">, розваг і </w:t>
      </w:r>
      <w:r w:rsidR="00C46FC3">
        <w:rPr>
          <w:lang w:val="uk-UA"/>
        </w:rPr>
        <w:t>заробітку</w:t>
      </w:r>
      <w:r w:rsidR="00C46FC3" w:rsidRPr="00C46FC3">
        <w:rPr>
          <w:lang w:val="uk-UA"/>
        </w:rPr>
        <w:t xml:space="preserve">, </w:t>
      </w:r>
      <w:r w:rsidR="00C46FC3">
        <w:rPr>
          <w:lang w:val="uk-UA"/>
        </w:rPr>
        <w:t xml:space="preserve">браку </w:t>
      </w:r>
      <w:r w:rsidR="00C46FC3" w:rsidRPr="00C46FC3">
        <w:rPr>
          <w:lang w:val="uk-UA"/>
        </w:rPr>
        <w:t xml:space="preserve">доступу до культурного життя і </w:t>
      </w:r>
      <w:r w:rsidR="00C46FC3">
        <w:rPr>
          <w:lang w:val="uk-UA"/>
        </w:rPr>
        <w:t>творчості</w:t>
      </w:r>
      <w:r w:rsidR="00C46FC3" w:rsidRPr="00C46FC3">
        <w:rPr>
          <w:lang w:val="uk-UA"/>
        </w:rPr>
        <w:t>,</w:t>
      </w:r>
      <w:r w:rsidR="00C46FC3">
        <w:rPr>
          <w:lang w:val="uk-UA"/>
        </w:rPr>
        <w:t xml:space="preserve"> що замінюються обтяжливими домашніми обов’язками та доглядом за дітьми</w:t>
      </w:r>
      <w:r w:rsidR="00C46FC3" w:rsidRPr="00C46FC3">
        <w:rPr>
          <w:lang w:val="uk-UA"/>
        </w:rPr>
        <w:t xml:space="preserve">. </w:t>
      </w:r>
      <w:r w:rsidR="00C46FC3">
        <w:rPr>
          <w:lang w:val="uk-UA"/>
        </w:rPr>
        <w:t>Отримані дані свідчать, що дівчата у багатьох країнах демонструють нижчі показники здоров’</w:t>
      </w:r>
      <w:r w:rsidR="00C46FC3" w:rsidRPr="00C46FC3">
        <w:rPr>
          <w:lang w:val="uk-UA"/>
        </w:rPr>
        <w:t>я та задоволеності життям</w:t>
      </w:r>
      <w:r w:rsidR="00C46FC3">
        <w:rPr>
          <w:lang w:val="uk-UA"/>
        </w:rPr>
        <w:t>, ніж хлопці</w:t>
      </w:r>
      <w:r w:rsidR="00C46FC3" w:rsidRPr="00C46FC3">
        <w:rPr>
          <w:lang w:val="uk-UA"/>
        </w:rPr>
        <w:t>, і з віком ц</w:t>
      </w:r>
      <w:r w:rsidR="00C46FC3">
        <w:rPr>
          <w:lang w:val="uk-UA"/>
        </w:rPr>
        <w:t xml:space="preserve">ей розрив </w:t>
      </w:r>
      <w:r w:rsidR="00C46FC3" w:rsidRPr="00C46FC3">
        <w:rPr>
          <w:lang w:val="uk-UA"/>
        </w:rPr>
        <w:t>поступово збільшується</w:t>
      </w:r>
      <w:r w:rsidRPr="00C46FC3">
        <w:rPr>
          <w:lang w:val="uk-UA"/>
        </w:rPr>
        <w:t>.</w:t>
      </w:r>
    </w:p>
    <w:p w:rsidR="00A007F8" w:rsidRPr="00C46FC3" w:rsidRDefault="00A007F8" w:rsidP="00054D9F">
      <w:pPr>
        <w:pStyle w:val="SingleTxtGR"/>
        <w:spacing w:line="238" w:lineRule="atLeast"/>
        <w:rPr>
          <w:lang w:val="uk-UA"/>
        </w:rPr>
      </w:pPr>
      <w:r w:rsidRPr="00C46FC3">
        <w:rPr>
          <w:lang w:val="uk-UA"/>
        </w:rPr>
        <w:t>28.</w:t>
      </w:r>
      <w:r w:rsidRPr="00C46FC3">
        <w:rPr>
          <w:lang w:val="uk-UA"/>
        </w:rPr>
        <w:tab/>
      </w:r>
      <w:r w:rsidR="00C46FC3">
        <w:rPr>
          <w:lang w:val="uk-UA"/>
        </w:rPr>
        <w:t xml:space="preserve">Держави повинні інвестувати </w:t>
      </w:r>
      <w:r w:rsidR="00C46FC3" w:rsidRPr="00C46FC3">
        <w:rPr>
          <w:lang w:val="uk-UA"/>
        </w:rPr>
        <w:t>в активні заходи</w:t>
      </w:r>
      <w:r w:rsidR="00C46FC3">
        <w:rPr>
          <w:lang w:val="uk-UA"/>
        </w:rPr>
        <w:t xml:space="preserve">, спрямовані на </w:t>
      </w:r>
      <w:r w:rsidR="00C46FC3" w:rsidRPr="00C46FC3">
        <w:rPr>
          <w:lang w:val="uk-UA"/>
        </w:rPr>
        <w:t>розшир</w:t>
      </w:r>
      <w:r w:rsidR="00C46FC3">
        <w:rPr>
          <w:lang w:val="uk-UA"/>
        </w:rPr>
        <w:t>ення прав і можливостей дівчат</w:t>
      </w:r>
      <w:r w:rsidR="00C46FC3" w:rsidRPr="00C46FC3">
        <w:rPr>
          <w:lang w:val="uk-UA"/>
        </w:rPr>
        <w:t xml:space="preserve">, </w:t>
      </w:r>
      <w:r w:rsidR="00C46FC3">
        <w:rPr>
          <w:lang w:val="uk-UA"/>
        </w:rPr>
        <w:t xml:space="preserve">подолання </w:t>
      </w:r>
      <w:r w:rsidR="00C46FC3" w:rsidRPr="00C46FC3">
        <w:rPr>
          <w:lang w:val="uk-UA"/>
        </w:rPr>
        <w:t>пат</w:t>
      </w:r>
      <w:r w:rsidR="00C46FC3">
        <w:rPr>
          <w:lang w:val="uk-UA"/>
        </w:rPr>
        <w:t>ріархальних та інших шкідливих ґ</w:t>
      </w:r>
      <w:r w:rsidR="00C46FC3" w:rsidRPr="00C46FC3">
        <w:rPr>
          <w:lang w:val="uk-UA"/>
        </w:rPr>
        <w:t>ендерних норм і стереотипів</w:t>
      </w:r>
      <w:r w:rsidR="00C46FC3">
        <w:rPr>
          <w:lang w:val="uk-UA"/>
        </w:rPr>
        <w:t xml:space="preserve">, а також на проведення </w:t>
      </w:r>
      <w:r w:rsidR="00C46FC3" w:rsidRPr="00C46FC3">
        <w:rPr>
          <w:lang w:val="uk-UA"/>
        </w:rPr>
        <w:t>правових реформ з метою вирішення проблем прямої і непр</w:t>
      </w:r>
      <w:r w:rsidR="00C46FC3">
        <w:rPr>
          <w:lang w:val="uk-UA"/>
        </w:rPr>
        <w:t>ямої дискримінації щодо дівчат</w:t>
      </w:r>
      <w:r w:rsidR="00C46FC3" w:rsidRPr="00C46FC3">
        <w:rPr>
          <w:lang w:val="uk-UA"/>
        </w:rPr>
        <w:t xml:space="preserve"> у співпраці з усіма зацікавленими сторонами, </w:t>
      </w:r>
      <w:r w:rsidR="00C46FC3">
        <w:rPr>
          <w:lang w:val="uk-UA"/>
        </w:rPr>
        <w:t xml:space="preserve">у т.ч. </w:t>
      </w:r>
      <w:r w:rsidR="00C46FC3" w:rsidRPr="00C46FC3">
        <w:rPr>
          <w:lang w:val="uk-UA"/>
        </w:rPr>
        <w:t>громадянськ</w:t>
      </w:r>
      <w:r w:rsidR="00C46FC3">
        <w:rPr>
          <w:lang w:val="uk-UA"/>
        </w:rPr>
        <w:t xml:space="preserve">им суспільством, жінками і чоловіками, </w:t>
      </w:r>
      <w:r w:rsidR="00C46FC3" w:rsidRPr="00C46FC3">
        <w:rPr>
          <w:lang w:val="uk-UA"/>
        </w:rPr>
        <w:t>традиційни</w:t>
      </w:r>
      <w:r w:rsidR="00C46FC3">
        <w:rPr>
          <w:lang w:val="uk-UA"/>
        </w:rPr>
        <w:t>ми і релігійними лідерами і самими підлітками</w:t>
      </w:r>
      <w:r w:rsidR="00C46FC3" w:rsidRPr="00C46FC3">
        <w:rPr>
          <w:lang w:val="uk-UA"/>
        </w:rPr>
        <w:t xml:space="preserve">. </w:t>
      </w:r>
      <w:r w:rsidR="00C46FC3">
        <w:rPr>
          <w:lang w:val="uk-UA"/>
        </w:rPr>
        <w:t xml:space="preserve">Потрібні </w:t>
      </w:r>
      <w:r w:rsidR="00C46FC3" w:rsidRPr="00C46FC3">
        <w:rPr>
          <w:lang w:val="uk-UA"/>
        </w:rPr>
        <w:t xml:space="preserve">конкретні заходи </w:t>
      </w:r>
      <w:r w:rsidR="00C46FC3">
        <w:rPr>
          <w:lang w:val="uk-UA"/>
        </w:rPr>
        <w:t>щодо усіх законів, політики і програм, щоб гарантувати рівність прав дівчат і хлопців</w:t>
      </w:r>
      <w:r w:rsidRPr="00C46FC3">
        <w:rPr>
          <w:lang w:val="uk-UA"/>
        </w:rPr>
        <w:t>.</w:t>
      </w:r>
    </w:p>
    <w:p w:rsidR="00A007F8" w:rsidRPr="00C46FC3" w:rsidRDefault="00FB168B" w:rsidP="0067613A">
      <w:pPr>
        <w:pStyle w:val="H23G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Хлопці</w:t>
      </w:r>
    </w:p>
    <w:p w:rsidR="00FB168B" w:rsidRDefault="00A007F8" w:rsidP="00054D9F">
      <w:pPr>
        <w:pStyle w:val="SingleTxtGR"/>
        <w:spacing w:line="238" w:lineRule="atLeast"/>
        <w:rPr>
          <w:lang w:val="uk-UA"/>
        </w:rPr>
      </w:pPr>
      <w:r w:rsidRPr="00C46FC3">
        <w:rPr>
          <w:lang w:val="uk-UA"/>
        </w:rPr>
        <w:t>29.</w:t>
      </w:r>
      <w:r w:rsidRPr="00C46FC3">
        <w:rPr>
          <w:lang w:val="uk-UA"/>
        </w:rPr>
        <w:tab/>
      </w:r>
      <w:r w:rsidR="00FB168B" w:rsidRPr="00FB168B">
        <w:rPr>
          <w:lang w:val="uk-UA"/>
        </w:rPr>
        <w:t>Трад</w:t>
      </w:r>
      <w:r w:rsidR="00FB168B">
        <w:rPr>
          <w:lang w:val="uk-UA"/>
        </w:rPr>
        <w:t>иційні уявлення про мужність і ґендерні норми, пов’</w:t>
      </w:r>
      <w:r w:rsidR="00FB168B" w:rsidRPr="00FB168B">
        <w:rPr>
          <w:lang w:val="uk-UA"/>
        </w:rPr>
        <w:t xml:space="preserve">язані з насильством і </w:t>
      </w:r>
      <w:r w:rsidR="00FB168B">
        <w:rPr>
          <w:lang w:val="uk-UA"/>
        </w:rPr>
        <w:t>домінуванням</w:t>
      </w:r>
      <w:r w:rsidR="00FB168B" w:rsidRPr="00FB168B">
        <w:rPr>
          <w:lang w:val="uk-UA"/>
        </w:rPr>
        <w:t>, можуть негативн</w:t>
      </w:r>
      <w:r w:rsidR="00FB168B">
        <w:rPr>
          <w:lang w:val="uk-UA"/>
        </w:rPr>
        <w:t xml:space="preserve">о </w:t>
      </w:r>
      <w:r w:rsidR="00FB168B" w:rsidRPr="00FB168B">
        <w:rPr>
          <w:lang w:val="uk-UA"/>
        </w:rPr>
        <w:t xml:space="preserve">позначатися на правах хлопчиків. До їх числа </w:t>
      </w:r>
      <w:r w:rsidR="00FB168B">
        <w:rPr>
          <w:lang w:val="uk-UA"/>
        </w:rPr>
        <w:t>належать нав’</w:t>
      </w:r>
      <w:r w:rsidR="00FB168B" w:rsidRPr="00FB168B">
        <w:rPr>
          <w:lang w:val="uk-UA"/>
        </w:rPr>
        <w:t>язуван</w:t>
      </w:r>
      <w:r w:rsidR="00FB168B">
        <w:rPr>
          <w:lang w:val="uk-UA"/>
        </w:rPr>
        <w:t xml:space="preserve">ня </w:t>
      </w:r>
      <w:r w:rsidR="00FB168B" w:rsidRPr="00FB168B">
        <w:rPr>
          <w:lang w:val="uk-UA"/>
        </w:rPr>
        <w:t>шкідлив</w:t>
      </w:r>
      <w:r w:rsidR="00FB168B">
        <w:rPr>
          <w:lang w:val="uk-UA"/>
        </w:rPr>
        <w:t>их обрядів</w:t>
      </w:r>
      <w:r w:rsidR="00FB168B" w:rsidRPr="00FB168B">
        <w:rPr>
          <w:lang w:val="uk-UA"/>
        </w:rPr>
        <w:t xml:space="preserve"> посвячення, </w:t>
      </w:r>
      <w:r w:rsidR="00FB168B">
        <w:rPr>
          <w:lang w:val="uk-UA"/>
        </w:rPr>
        <w:t>піддавання насильству, вплив</w:t>
      </w:r>
      <w:r w:rsidR="00FB168B" w:rsidRPr="00FB168B">
        <w:rPr>
          <w:lang w:val="uk-UA"/>
        </w:rPr>
        <w:t xml:space="preserve"> банд, примушування до вступу в ряди </w:t>
      </w:r>
      <w:r w:rsidR="00FB168B">
        <w:rPr>
          <w:lang w:val="uk-UA"/>
        </w:rPr>
        <w:t xml:space="preserve">збройних формувань </w:t>
      </w:r>
      <w:r w:rsidR="00FB168B" w:rsidRPr="00FB168B">
        <w:rPr>
          <w:lang w:val="uk-UA"/>
        </w:rPr>
        <w:t>і екстремістських груп</w:t>
      </w:r>
      <w:r w:rsidR="00FB168B">
        <w:rPr>
          <w:lang w:val="uk-UA"/>
        </w:rPr>
        <w:t>, а також торгівля</w:t>
      </w:r>
      <w:r w:rsidR="00FB168B" w:rsidRPr="00FB168B">
        <w:rPr>
          <w:lang w:val="uk-UA"/>
        </w:rPr>
        <w:t xml:space="preserve"> людьми. Заперечення </w:t>
      </w:r>
      <w:r w:rsidR="00FB168B">
        <w:rPr>
          <w:lang w:val="uk-UA"/>
        </w:rPr>
        <w:t>в</w:t>
      </w:r>
      <w:r w:rsidR="00FB168B" w:rsidRPr="00FB168B">
        <w:rPr>
          <w:lang w:val="uk-UA"/>
        </w:rPr>
        <w:t xml:space="preserve">разливості </w:t>
      </w:r>
      <w:r w:rsidR="00FB168B">
        <w:rPr>
          <w:lang w:val="uk-UA"/>
        </w:rPr>
        <w:t xml:space="preserve">хлопців </w:t>
      </w:r>
      <w:r w:rsidR="00FB168B" w:rsidRPr="00FB168B">
        <w:rPr>
          <w:lang w:val="uk-UA"/>
        </w:rPr>
        <w:t xml:space="preserve">до фізичного і сексуального насильства та експлуатації також створює повсюдні і серйозні перешкоди </w:t>
      </w:r>
      <w:r w:rsidR="00FB168B">
        <w:rPr>
          <w:lang w:val="uk-UA"/>
        </w:rPr>
        <w:t>до отримання</w:t>
      </w:r>
      <w:r w:rsidR="00FB168B" w:rsidRPr="00FB168B">
        <w:rPr>
          <w:lang w:val="uk-UA"/>
        </w:rPr>
        <w:t xml:space="preserve"> інформації про се</w:t>
      </w:r>
      <w:r w:rsidR="00FB168B">
        <w:rPr>
          <w:lang w:val="uk-UA"/>
        </w:rPr>
        <w:t>ксуальне і репродуктивне здоров’</w:t>
      </w:r>
      <w:r w:rsidR="00FB168B" w:rsidRPr="00FB168B">
        <w:rPr>
          <w:lang w:val="uk-UA"/>
        </w:rPr>
        <w:t xml:space="preserve">я, до товарів і </w:t>
      </w:r>
      <w:r w:rsidR="00FB168B">
        <w:rPr>
          <w:lang w:val="uk-UA"/>
        </w:rPr>
        <w:t>служб</w:t>
      </w:r>
      <w:r w:rsidR="00FB168B" w:rsidRPr="00FB168B">
        <w:rPr>
          <w:lang w:val="uk-UA"/>
        </w:rPr>
        <w:t xml:space="preserve">, </w:t>
      </w:r>
      <w:r w:rsidR="00FB168B">
        <w:rPr>
          <w:lang w:val="uk-UA"/>
        </w:rPr>
        <w:t xml:space="preserve">і зрештою – до </w:t>
      </w:r>
      <w:r w:rsidR="00FB168B" w:rsidRPr="00FB168B">
        <w:rPr>
          <w:lang w:val="uk-UA"/>
        </w:rPr>
        <w:t xml:space="preserve">відсутності </w:t>
      </w:r>
      <w:r w:rsidR="00FB168B">
        <w:rPr>
          <w:lang w:val="uk-UA"/>
        </w:rPr>
        <w:t xml:space="preserve">захисних </w:t>
      </w:r>
      <w:r w:rsidR="00FB168B" w:rsidRPr="00FB168B">
        <w:rPr>
          <w:lang w:val="uk-UA"/>
        </w:rPr>
        <w:t>послуг</w:t>
      </w:r>
      <w:r w:rsidR="00FB168B">
        <w:rPr>
          <w:lang w:val="uk-UA"/>
        </w:rPr>
        <w:t xml:space="preserve">. </w:t>
      </w:r>
    </w:p>
    <w:p w:rsidR="00FB168B" w:rsidRDefault="00A007F8" w:rsidP="00054D9F">
      <w:pPr>
        <w:pStyle w:val="SingleTxtGR"/>
        <w:spacing w:line="238" w:lineRule="atLeast"/>
        <w:rPr>
          <w:lang w:val="uk-UA"/>
        </w:rPr>
      </w:pPr>
      <w:r w:rsidRPr="00C46FC3">
        <w:rPr>
          <w:lang w:val="uk-UA"/>
        </w:rPr>
        <w:t>30.</w:t>
      </w:r>
      <w:r w:rsidRPr="00C46FC3">
        <w:rPr>
          <w:lang w:val="uk-UA"/>
        </w:rPr>
        <w:tab/>
      </w:r>
      <w:r w:rsidR="00FB168B">
        <w:rPr>
          <w:lang w:val="uk-UA"/>
        </w:rPr>
        <w:t xml:space="preserve">Комітет </w:t>
      </w:r>
      <w:r w:rsidR="00FB168B" w:rsidRPr="00FB168B">
        <w:rPr>
          <w:lang w:val="uk-UA"/>
        </w:rPr>
        <w:t xml:space="preserve">закликає держави </w:t>
      </w:r>
      <w:r w:rsidR="00FB168B">
        <w:rPr>
          <w:lang w:val="uk-UA"/>
        </w:rPr>
        <w:t>запроваджувати заходи</w:t>
      </w:r>
      <w:r w:rsidR="00FB168B" w:rsidRPr="00FB168B">
        <w:rPr>
          <w:lang w:val="uk-UA"/>
        </w:rPr>
        <w:t xml:space="preserve"> для боротьби з такими порушеннями прав і рекомендує </w:t>
      </w:r>
      <w:r w:rsidR="00FB168B">
        <w:rPr>
          <w:lang w:val="uk-UA"/>
        </w:rPr>
        <w:t xml:space="preserve">протидіяти </w:t>
      </w:r>
      <w:r w:rsidR="00FB168B" w:rsidRPr="00FB168B">
        <w:rPr>
          <w:lang w:val="uk-UA"/>
        </w:rPr>
        <w:t>негативн</w:t>
      </w:r>
      <w:r w:rsidR="00FB168B">
        <w:rPr>
          <w:lang w:val="uk-UA"/>
        </w:rPr>
        <w:t>ому сприйняттю хлопців</w:t>
      </w:r>
      <w:r w:rsidR="00FB168B" w:rsidRPr="00FB168B">
        <w:rPr>
          <w:lang w:val="uk-UA"/>
        </w:rPr>
        <w:t xml:space="preserve">, заохочувати позитивні прояви мужності, </w:t>
      </w:r>
      <w:r w:rsidR="00FB168B">
        <w:rPr>
          <w:lang w:val="uk-UA"/>
        </w:rPr>
        <w:t xml:space="preserve">долати </w:t>
      </w:r>
      <w:r w:rsidR="00FB168B" w:rsidRPr="00FB168B">
        <w:rPr>
          <w:lang w:val="uk-UA"/>
        </w:rPr>
        <w:t>культурн</w:t>
      </w:r>
      <w:r w:rsidR="00FB168B">
        <w:rPr>
          <w:lang w:val="uk-UA"/>
        </w:rPr>
        <w:t xml:space="preserve">і </w:t>
      </w:r>
      <w:r w:rsidR="00FB168B" w:rsidRPr="00FB168B">
        <w:rPr>
          <w:lang w:val="uk-UA"/>
        </w:rPr>
        <w:t>цінност</w:t>
      </w:r>
      <w:r w:rsidR="00FB168B">
        <w:rPr>
          <w:lang w:val="uk-UA"/>
        </w:rPr>
        <w:t>і на основі чоловічого шовінізму («</w:t>
      </w:r>
      <w:proofErr w:type="spellStart"/>
      <w:r w:rsidR="00FB168B">
        <w:rPr>
          <w:lang w:val="uk-UA"/>
        </w:rPr>
        <w:t>мачизму</w:t>
      </w:r>
      <w:proofErr w:type="spellEnd"/>
      <w:r w:rsidR="00FB168B">
        <w:rPr>
          <w:lang w:val="uk-UA"/>
        </w:rPr>
        <w:t>»)</w:t>
      </w:r>
      <w:r w:rsidR="00FB168B" w:rsidRPr="00FB168B">
        <w:rPr>
          <w:lang w:val="uk-UA"/>
        </w:rPr>
        <w:t>, і сприяти шир</w:t>
      </w:r>
      <w:r w:rsidR="00FB168B">
        <w:rPr>
          <w:lang w:val="uk-UA"/>
        </w:rPr>
        <w:t xml:space="preserve">шому </w:t>
      </w:r>
      <w:r w:rsidR="00FB168B" w:rsidRPr="00FB168B">
        <w:rPr>
          <w:lang w:val="uk-UA"/>
        </w:rPr>
        <w:t xml:space="preserve">визнанню гендерних аспектів зловживань, </w:t>
      </w:r>
      <w:r w:rsidR="00FB168B">
        <w:rPr>
          <w:lang w:val="uk-UA"/>
        </w:rPr>
        <w:t>з якими стикаються хлопці</w:t>
      </w:r>
      <w:r w:rsidR="00FB168B" w:rsidRPr="00FB168B">
        <w:rPr>
          <w:lang w:val="uk-UA"/>
        </w:rPr>
        <w:t>. Державам також слід визнати важливість залучення хлоп</w:t>
      </w:r>
      <w:r w:rsidR="00FB168B">
        <w:rPr>
          <w:lang w:val="uk-UA"/>
        </w:rPr>
        <w:t xml:space="preserve">ців </w:t>
      </w:r>
      <w:r w:rsidR="00FB168B" w:rsidRPr="00FB168B">
        <w:rPr>
          <w:lang w:val="uk-UA"/>
        </w:rPr>
        <w:t xml:space="preserve">і чоловіків, так само як </w:t>
      </w:r>
      <w:r w:rsidR="00FB168B">
        <w:rPr>
          <w:lang w:val="uk-UA"/>
        </w:rPr>
        <w:t>дівчат</w:t>
      </w:r>
      <w:r w:rsidR="00FB168B" w:rsidRPr="00FB168B">
        <w:rPr>
          <w:lang w:val="uk-UA"/>
        </w:rPr>
        <w:t xml:space="preserve"> і жінок, </w:t>
      </w:r>
      <w:r w:rsidR="00FB168B">
        <w:rPr>
          <w:lang w:val="uk-UA"/>
        </w:rPr>
        <w:t xml:space="preserve">до реалізації </w:t>
      </w:r>
      <w:r w:rsidR="00FB168B" w:rsidRPr="00FB168B">
        <w:rPr>
          <w:lang w:val="uk-UA"/>
        </w:rPr>
        <w:t xml:space="preserve">всіх заходів, </w:t>
      </w:r>
      <w:r w:rsidR="00FB168B">
        <w:rPr>
          <w:lang w:val="uk-UA"/>
        </w:rPr>
        <w:t xml:space="preserve">спрямованих на </w:t>
      </w:r>
      <w:r w:rsidR="00FB168B" w:rsidRPr="00FB168B">
        <w:rPr>
          <w:lang w:val="uk-UA"/>
        </w:rPr>
        <w:t xml:space="preserve">забезпечення </w:t>
      </w:r>
      <w:r w:rsidR="00FB168B">
        <w:rPr>
          <w:lang w:val="uk-UA"/>
        </w:rPr>
        <w:t xml:space="preserve">ґендерної </w:t>
      </w:r>
      <w:r w:rsidR="00FB168B" w:rsidRPr="00FB168B">
        <w:rPr>
          <w:lang w:val="uk-UA"/>
        </w:rPr>
        <w:t>рівності</w:t>
      </w:r>
      <w:r w:rsidR="00FB168B">
        <w:rPr>
          <w:lang w:val="uk-UA"/>
        </w:rPr>
        <w:t>.</w:t>
      </w:r>
    </w:p>
    <w:p w:rsidR="00A007F8" w:rsidRPr="0009110F" w:rsidRDefault="00A007F8" w:rsidP="0067613A">
      <w:pPr>
        <w:pStyle w:val="H23GR"/>
        <w:rPr>
          <w:lang w:val="uk-UA"/>
        </w:rPr>
      </w:pPr>
      <w:r w:rsidRPr="00A007F8">
        <w:lastRenderedPageBreak/>
        <w:tab/>
      </w:r>
      <w:r w:rsidRPr="0009110F">
        <w:rPr>
          <w:lang w:val="uk-UA"/>
        </w:rPr>
        <w:tab/>
        <w:t>П</w:t>
      </w:r>
      <w:r w:rsidR="0009110F">
        <w:rPr>
          <w:lang w:val="uk-UA"/>
        </w:rPr>
        <w:t>ідлітки з інвалідністю</w:t>
      </w:r>
    </w:p>
    <w:p w:rsidR="00A007F8" w:rsidRPr="0009110F" w:rsidRDefault="00A007F8" w:rsidP="0009110F">
      <w:pPr>
        <w:pStyle w:val="SingleTxtGR"/>
        <w:rPr>
          <w:lang w:val="uk-UA"/>
        </w:rPr>
      </w:pPr>
      <w:r w:rsidRPr="0009110F">
        <w:rPr>
          <w:lang w:val="uk-UA"/>
        </w:rPr>
        <w:t>31.</w:t>
      </w:r>
      <w:r w:rsidRPr="0009110F">
        <w:rPr>
          <w:lang w:val="uk-UA"/>
        </w:rPr>
        <w:tab/>
      </w:r>
      <w:r w:rsidR="0009110F" w:rsidRPr="0009110F">
        <w:rPr>
          <w:lang w:val="uk-UA"/>
        </w:rPr>
        <w:t xml:space="preserve">Комітет раніше відзначав </w:t>
      </w:r>
      <w:r w:rsidR="0009110F">
        <w:rPr>
          <w:lang w:val="uk-UA"/>
        </w:rPr>
        <w:t xml:space="preserve">значну </w:t>
      </w:r>
      <w:r w:rsidR="0009110F" w:rsidRPr="0009110F">
        <w:rPr>
          <w:lang w:val="uk-UA"/>
        </w:rPr>
        <w:t>поширені</w:t>
      </w:r>
      <w:r w:rsidR="0009110F">
        <w:rPr>
          <w:lang w:val="uk-UA"/>
        </w:rPr>
        <w:t>сть</w:t>
      </w:r>
      <w:r w:rsidR="0009110F" w:rsidRPr="0009110F">
        <w:rPr>
          <w:lang w:val="uk-UA"/>
        </w:rPr>
        <w:t xml:space="preserve"> упереджен</w:t>
      </w:r>
      <w:r w:rsidR="0009110F">
        <w:rPr>
          <w:lang w:val="uk-UA"/>
        </w:rPr>
        <w:t>ь</w:t>
      </w:r>
      <w:r w:rsidR="0009110F" w:rsidRPr="0009110F">
        <w:rPr>
          <w:lang w:val="uk-UA"/>
        </w:rPr>
        <w:t xml:space="preserve">, </w:t>
      </w:r>
      <w:r w:rsidR="0009110F">
        <w:rPr>
          <w:lang w:val="uk-UA"/>
        </w:rPr>
        <w:t>виключення</w:t>
      </w:r>
      <w:r w:rsidR="0009110F" w:rsidRPr="0009110F">
        <w:rPr>
          <w:lang w:val="uk-UA"/>
        </w:rPr>
        <w:t>, соціальн</w:t>
      </w:r>
      <w:r w:rsidR="0009110F">
        <w:rPr>
          <w:lang w:val="uk-UA"/>
        </w:rPr>
        <w:t xml:space="preserve">ої </w:t>
      </w:r>
      <w:r w:rsidR="0009110F" w:rsidRPr="0009110F">
        <w:rPr>
          <w:lang w:val="uk-UA"/>
        </w:rPr>
        <w:t>ізоляці</w:t>
      </w:r>
      <w:r w:rsidR="0009110F">
        <w:rPr>
          <w:lang w:val="uk-UA"/>
        </w:rPr>
        <w:t xml:space="preserve">ї </w:t>
      </w:r>
      <w:r w:rsidR="0009110F" w:rsidRPr="0009110F">
        <w:rPr>
          <w:lang w:val="uk-UA"/>
        </w:rPr>
        <w:t>і дискримінаці</w:t>
      </w:r>
      <w:r w:rsidR="0009110F">
        <w:rPr>
          <w:lang w:val="uk-UA"/>
        </w:rPr>
        <w:t>ї</w:t>
      </w:r>
      <w:r w:rsidR="0009110F" w:rsidRPr="0009110F">
        <w:rPr>
          <w:lang w:val="uk-UA"/>
        </w:rPr>
        <w:t xml:space="preserve">, з якими стикаються </w:t>
      </w:r>
      <w:r w:rsidR="0009110F">
        <w:rPr>
          <w:lang w:val="uk-UA"/>
        </w:rPr>
        <w:t>чимало дітей з інвалідністю</w:t>
      </w:r>
      <w:r w:rsidR="0009110F" w:rsidRPr="0009110F">
        <w:rPr>
          <w:sz w:val="18"/>
          <w:vertAlign w:val="superscript"/>
          <w:lang w:val="uk-UA"/>
        </w:rPr>
        <w:footnoteReference w:id="13"/>
      </w:r>
      <w:r w:rsidR="0009110F" w:rsidRPr="0009110F">
        <w:rPr>
          <w:lang w:val="uk-UA"/>
        </w:rPr>
        <w:t>. Підлітки</w:t>
      </w:r>
      <w:r w:rsidR="0009110F">
        <w:rPr>
          <w:lang w:val="uk-UA"/>
        </w:rPr>
        <w:t xml:space="preserve"> з інвалідністю </w:t>
      </w:r>
      <w:r w:rsidR="0009110F" w:rsidRPr="0009110F">
        <w:rPr>
          <w:lang w:val="uk-UA"/>
        </w:rPr>
        <w:t xml:space="preserve">в багатьох державах </w:t>
      </w:r>
      <w:r w:rsidR="0009110F">
        <w:rPr>
          <w:lang w:val="uk-UA"/>
        </w:rPr>
        <w:t xml:space="preserve">нерідко </w:t>
      </w:r>
      <w:r w:rsidR="0009110F" w:rsidRPr="0009110F">
        <w:rPr>
          <w:lang w:val="uk-UA"/>
        </w:rPr>
        <w:t xml:space="preserve">позбавлені можливостей, </w:t>
      </w:r>
      <w:r w:rsidR="0009110F">
        <w:rPr>
          <w:lang w:val="uk-UA"/>
        </w:rPr>
        <w:t>які доступні іншим підліткам</w:t>
      </w:r>
      <w:r w:rsidR="0009110F" w:rsidRPr="0009110F">
        <w:rPr>
          <w:lang w:val="uk-UA"/>
        </w:rPr>
        <w:t xml:space="preserve">. Вони можуть бути відсторонені від участі </w:t>
      </w:r>
      <w:r w:rsidR="0009110F">
        <w:rPr>
          <w:lang w:val="uk-UA"/>
        </w:rPr>
        <w:t>у важливих подіях соціального</w:t>
      </w:r>
      <w:r w:rsidR="0009110F" w:rsidRPr="0009110F">
        <w:rPr>
          <w:lang w:val="uk-UA"/>
        </w:rPr>
        <w:t xml:space="preserve">, культурного і релігійного життя. </w:t>
      </w:r>
      <w:r w:rsidR="0009110F">
        <w:rPr>
          <w:lang w:val="uk-UA"/>
        </w:rPr>
        <w:t xml:space="preserve">Чимало таких підлітків </w:t>
      </w:r>
      <w:r w:rsidR="0009110F" w:rsidRPr="0009110F">
        <w:rPr>
          <w:lang w:val="uk-UA"/>
        </w:rPr>
        <w:t xml:space="preserve">позбавлені доступу до середньої та вищої освіти </w:t>
      </w:r>
      <w:r w:rsidR="0009110F">
        <w:rPr>
          <w:lang w:val="uk-UA"/>
        </w:rPr>
        <w:t xml:space="preserve">і професійного навчання і як наслідок – до набуття </w:t>
      </w:r>
      <w:r w:rsidR="0009110F" w:rsidRPr="0009110F">
        <w:rPr>
          <w:lang w:val="uk-UA"/>
        </w:rPr>
        <w:t xml:space="preserve">соціальних, освітніх та економічних навичок, </w:t>
      </w:r>
      <w:r w:rsidR="0009110F">
        <w:rPr>
          <w:lang w:val="uk-UA"/>
        </w:rPr>
        <w:t>необхідних для майбутнього працевлаштування та свободи від бідності</w:t>
      </w:r>
      <w:r w:rsidR="0009110F" w:rsidRPr="0009110F">
        <w:rPr>
          <w:lang w:val="uk-UA"/>
        </w:rPr>
        <w:t xml:space="preserve">. Їм повсюдно </w:t>
      </w:r>
      <w:r w:rsidR="0009110F">
        <w:rPr>
          <w:lang w:val="uk-UA"/>
        </w:rPr>
        <w:t xml:space="preserve">закривають </w:t>
      </w:r>
      <w:r w:rsidR="0009110F" w:rsidRPr="0009110F">
        <w:rPr>
          <w:lang w:val="uk-UA"/>
        </w:rPr>
        <w:t>доступ до інформації про се</w:t>
      </w:r>
      <w:r w:rsidR="0009110F">
        <w:rPr>
          <w:lang w:val="uk-UA"/>
        </w:rPr>
        <w:t>ксуальне і репродуктивне здоров’</w:t>
      </w:r>
      <w:r w:rsidR="0009110F" w:rsidRPr="0009110F">
        <w:rPr>
          <w:lang w:val="uk-UA"/>
        </w:rPr>
        <w:t xml:space="preserve">я </w:t>
      </w:r>
      <w:r w:rsidR="0009110F">
        <w:rPr>
          <w:lang w:val="uk-UA"/>
        </w:rPr>
        <w:t>і послуги; їх навіть можуть піддавати</w:t>
      </w:r>
      <w:r w:rsidR="0009110F" w:rsidRPr="0009110F">
        <w:rPr>
          <w:lang w:val="uk-UA"/>
        </w:rPr>
        <w:t xml:space="preserve"> примусов</w:t>
      </w:r>
      <w:r w:rsidR="0009110F">
        <w:rPr>
          <w:lang w:val="uk-UA"/>
        </w:rPr>
        <w:t xml:space="preserve">ій </w:t>
      </w:r>
      <w:r w:rsidR="0009110F" w:rsidRPr="0009110F">
        <w:rPr>
          <w:lang w:val="uk-UA"/>
        </w:rPr>
        <w:t xml:space="preserve">стерилізації </w:t>
      </w:r>
      <w:r w:rsidR="0009110F">
        <w:rPr>
          <w:lang w:val="uk-UA"/>
        </w:rPr>
        <w:t xml:space="preserve">чи </w:t>
      </w:r>
      <w:r w:rsidR="0009110F" w:rsidRPr="0009110F">
        <w:rPr>
          <w:lang w:val="uk-UA"/>
        </w:rPr>
        <w:t>контрацепції, що є прямим порушенням їх</w:t>
      </w:r>
      <w:r w:rsidR="0009110F">
        <w:rPr>
          <w:lang w:val="uk-UA"/>
        </w:rPr>
        <w:t>ніх</w:t>
      </w:r>
      <w:r w:rsidR="0009110F" w:rsidRPr="0009110F">
        <w:rPr>
          <w:lang w:val="uk-UA"/>
        </w:rPr>
        <w:t xml:space="preserve"> прав і </w:t>
      </w:r>
      <w:r w:rsidR="0009110F">
        <w:rPr>
          <w:lang w:val="uk-UA"/>
        </w:rPr>
        <w:t xml:space="preserve">кваліфікуватися як катування або </w:t>
      </w:r>
      <w:r w:rsidR="0009110F" w:rsidRPr="0009110F">
        <w:rPr>
          <w:lang w:val="uk-UA"/>
        </w:rPr>
        <w:t>жорсто</w:t>
      </w:r>
      <w:r w:rsidR="0009110F">
        <w:rPr>
          <w:lang w:val="uk-UA"/>
        </w:rPr>
        <w:t>ке поводження</w:t>
      </w:r>
      <w:r w:rsidR="0009110F" w:rsidRPr="0009110F">
        <w:rPr>
          <w:sz w:val="18"/>
          <w:vertAlign w:val="superscript"/>
          <w:lang w:val="uk-UA"/>
        </w:rPr>
        <w:footnoteReference w:id="14"/>
      </w:r>
      <w:r w:rsidR="0009110F" w:rsidRPr="0009110F">
        <w:rPr>
          <w:lang w:val="uk-UA"/>
        </w:rPr>
        <w:t>. Підлітки</w:t>
      </w:r>
      <w:r w:rsidR="0009110F">
        <w:rPr>
          <w:lang w:val="uk-UA"/>
        </w:rPr>
        <w:t xml:space="preserve"> з інвалідністю набагато більш уразливі </w:t>
      </w:r>
      <w:r w:rsidR="0009110F" w:rsidRPr="0009110F">
        <w:rPr>
          <w:lang w:val="uk-UA"/>
        </w:rPr>
        <w:t xml:space="preserve">до фізичного і сексуального насильства, а також </w:t>
      </w:r>
      <w:r w:rsidR="0009110F">
        <w:rPr>
          <w:lang w:val="uk-UA"/>
        </w:rPr>
        <w:t>до дитячих чи примусових шлюбів</w:t>
      </w:r>
      <w:r w:rsidR="0009110F" w:rsidRPr="0009110F">
        <w:rPr>
          <w:lang w:val="uk-UA"/>
        </w:rPr>
        <w:t xml:space="preserve">, </w:t>
      </w:r>
      <w:r w:rsidR="0009110F">
        <w:rPr>
          <w:lang w:val="uk-UA"/>
        </w:rPr>
        <w:t xml:space="preserve">не маючи при цьому </w:t>
      </w:r>
      <w:r w:rsidR="0009110F" w:rsidRPr="0009110F">
        <w:rPr>
          <w:lang w:val="uk-UA"/>
        </w:rPr>
        <w:t xml:space="preserve">доступу до правосуддя або </w:t>
      </w:r>
      <w:r w:rsidR="0009110F">
        <w:rPr>
          <w:lang w:val="uk-UA"/>
        </w:rPr>
        <w:t>компенсацій</w:t>
      </w:r>
      <w:r w:rsidRPr="0009110F">
        <w:rPr>
          <w:sz w:val="18"/>
          <w:vertAlign w:val="superscript"/>
          <w:lang w:val="uk-UA"/>
        </w:rPr>
        <w:footnoteReference w:id="15"/>
      </w:r>
      <w:r w:rsidRPr="0009110F">
        <w:rPr>
          <w:lang w:val="uk-UA"/>
        </w:rPr>
        <w:t>.</w:t>
      </w:r>
    </w:p>
    <w:p w:rsidR="00A007F8" w:rsidRPr="0009110F" w:rsidRDefault="00A007F8" w:rsidP="00A007F8">
      <w:pPr>
        <w:pStyle w:val="SingleTxtGR"/>
        <w:rPr>
          <w:lang w:val="uk-UA"/>
        </w:rPr>
      </w:pPr>
      <w:r w:rsidRPr="0009110F">
        <w:rPr>
          <w:lang w:val="uk-UA"/>
        </w:rPr>
        <w:t>32.</w:t>
      </w:r>
      <w:r w:rsidRPr="0009110F">
        <w:rPr>
          <w:lang w:val="uk-UA"/>
        </w:rPr>
        <w:tab/>
      </w:r>
      <w:r w:rsidR="0009110F" w:rsidRPr="0009110F">
        <w:rPr>
          <w:lang w:val="uk-UA"/>
        </w:rPr>
        <w:t xml:space="preserve">Державам-учасницям слід вжити заходів </w:t>
      </w:r>
      <w:r w:rsidR="0009110F">
        <w:rPr>
          <w:lang w:val="uk-UA"/>
        </w:rPr>
        <w:t xml:space="preserve">для </w:t>
      </w:r>
      <w:r w:rsidR="0009110F" w:rsidRPr="0009110F">
        <w:rPr>
          <w:lang w:val="uk-UA"/>
        </w:rPr>
        <w:t>подолання таких перешкод, гарантува</w:t>
      </w:r>
      <w:r w:rsidR="0009110F">
        <w:rPr>
          <w:lang w:val="uk-UA"/>
        </w:rPr>
        <w:t xml:space="preserve">ння однакової поваги до </w:t>
      </w:r>
      <w:r w:rsidR="0009110F" w:rsidRPr="0009110F">
        <w:rPr>
          <w:lang w:val="uk-UA"/>
        </w:rPr>
        <w:t>прав підлітків</w:t>
      </w:r>
      <w:r w:rsidR="0009110F">
        <w:rPr>
          <w:lang w:val="uk-UA"/>
        </w:rPr>
        <w:t xml:space="preserve"> з інвалідністю</w:t>
      </w:r>
      <w:r w:rsidR="0009110F" w:rsidRPr="0009110F">
        <w:rPr>
          <w:lang w:val="uk-UA"/>
        </w:rPr>
        <w:t xml:space="preserve">, </w:t>
      </w:r>
      <w:r w:rsidR="0009110F">
        <w:rPr>
          <w:lang w:val="uk-UA"/>
        </w:rPr>
        <w:t xml:space="preserve">сприяння їх </w:t>
      </w:r>
      <w:r w:rsidR="0009110F" w:rsidRPr="0009110F">
        <w:rPr>
          <w:lang w:val="uk-UA"/>
        </w:rPr>
        <w:t xml:space="preserve">повноцінному </w:t>
      </w:r>
      <w:r w:rsidR="0009110F">
        <w:rPr>
          <w:lang w:val="uk-UA"/>
        </w:rPr>
        <w:t xml:space="preserve">включенню, та </w:t>
      </w:r>
      <w:r w:rsidR="0009110F" w:rsidRPr="0009110F">
        <w:rPr>
          <w:lang w:val="uk-UA"/>
        </w:rPr>
        <w:t xml:space="preserve">полегшення успішного переходу від підліткового віку до </w:t>
      </w:r>
      <w:r w:rsidR="0009110F">
        <w:rPr>
          <w:lang w:val="uk-UA"/>
        </w:rPr>
        <w:t>дорослого життя відповідно до положень С</w:t>
      </w:r>
      <w:r w:rsidR="0009110F" w:rsidRPr="0009110F">
        <w:rPr>
          <w:lang w:val="uk-UA"/>
        </w:rPr>
        <w:t>татті 23 Конвенції та рекомендаці</w:t>
      </w:r>
      <w:r w:rsidR="0009110F">
        <w:rPr>
          <w:lang w:val="uk-UA"/>
        </w:rPr>
        <w:t>й зауваження загального порядку № 9 (2006</w:t>
      </w:r>
      <w:r w:rsidR="0009110F" w:rsidRPr="0009110F">
        <w:rPr>
          <w:lang w:val="uk-UA"/>
        </w:rPr>
        <w:t>) про права дітей</w:t>
      </w:r>
      <w:r w:rsidR="0009110F">
        <w:rPr>
          <w:lang w:val="uk-UA"/>
        </w:rPr>
        <w:t xml:space="preserve"> з інвалідністю</w:t>
      </w:r>
      <w:r w:rsidR="0009110F" w:rsidRPr="0009110F">
        <w:rPr>
          <w:lang w:val="uk-UA"/>
        </w:rPr>
        <w:t>. Крім того, підлітк</w:t>
      </w:r>
      <w:r w:rsidR="0009110F">
        <w:rPr>
          <w:lang w:val="uk-UA"/>
        </w:rPr>
        <w:t xml:space="preserve">и з інвалідністю повинні мати </w:t>
      </w:r>
      <w:r w:rsidR="0009110F" w:rsidRPr="0009110F">
        <w:rPr>
          <w:lang w:val="uk-UA"/>
        </w:rPr>
        <w:t>можлив</w:t>
      </w:r>
      <w:r w:rsidR="0009110F">
        <w:rPr>
          <w:lang w:val="uk-UA"/>
        </w:rPr>
        <w:t xml:space="preserve">ість </w:t>
      </w:r>
      <w:r w:rsidR="0009110F" w:rsidRPr="0009110F">
        <w:rPr>
          <w:lang w:val="uk-UA"/>
        </w:rPr>
        <w:t xml:space="preserve">для </w:t>
      </w:r>
      <w:proofErr w:type="spellStart"/>
      <w:r w:rsidR="0009110F">
        <w:rPr>
          <w:lang w:val="uk-UA"/>
        </w:rPr>
        <w:t>супортивного</w:t>
      </w:r>
      <w:proofErr w:type="spellEnd"/>
      <w:r w:rsidR="0009110F">
        <w:rPr>
          <w:lang w:val="uk-UA"/>
        </w:rPr>
        <w:t xml:space="preserve"> </w:t>
      </w:r>
      <w:r w:rsidR="0009110F" w:rsidRPr="0009110F">
        <w:rPr>
          <w:lang w:val="uk-UA"/>
        </w:rPr>
        <w:t xml:space="preserve">прийняття рішень, </w:t>
      </w:r>
      <w:r w:rsidR="0009110F">
        <w:rPr>
          <w:lang w:val="uk-UA"/>
        </w:rPr>
        <w:t>щоб сприяти їхній активній участі в усіх справах і питаннях, що їх стосуються</w:t>
      </w:r>
      <w:r w:rsidRPr="0009110F">
        <w:rPr>
          <w:lang w:val="uk-UA"/>
        </w:rPr>
        <w:t>.</w:t>
      </w:r>
    </w:p>
    <w:p w:rsidR="00A007F8" w:rsidRPr="0009110F" w:rsidRDefault="00A007F8" w:rsidP="0067613A">
      <w:pPr>
        <w:pStyle w:val="H23GR"/>
        <w:rPr>
          <w:lang w:val="uk-UA"/>
        </w:rPr>
      </w:pPr>
      <w:r w:rsidRPr="0009110F">
        <w:rPr>
          <w:lang w:val="uk-UA"/>
        </w:rPr>
        <w:tab/>
      </w:r>
      <w:r w:rsidRPr="0009110F">
        <w:rPr>
          <w:lang w:val="uk-UA"/>
        </w:rPr>
        <w:tab/>
        <w:t>Лес</w:t>
      </w:r>
      <w:r w:rsidR="004D017F">
        <w:rPr>
          <w:lang w:val="uk-UA"/>
        </w:rPr>
        <w:t>бі</w:t>
      </w:r>
      <w:r w:rsidRPr="0009110F">
        <w:rPr>
          <w:lang w:val="uk-UA"/>
        </w:rPr>
        <w:t xml:space="preserve">янки, </w:t>
      </w:r>
      <w:r w:rsidR="004D017F" w:rsidRPr="0009110F">
        <w:rPr>
          <w:lang w:val="uk-UA"/>
        </w:rPr>
        <w:t>гомосексуалісти</w:t>
      </w:r>
      <w:r w:rsidRPr="0009110F">
        <w:rPr>
          <w:lang w:val="uk-UA"/>
        </w:rPr>
        <w:t xml:space="preserve">, </w:t>
      </w:r>
      <w:proofErr w:type="spellStart"/>
      <w:r w:rsidRPr="0009110F">
        <w:rPr>
          <w:lang w:val="uk-UA"/>
        </w:rPr>
        <w:t>б</w:t>
      </w:r>
      <w:r w:rsidR="004D017F">
        <w:rPr>
          <w:lang w:val="uk-UA"/>
        </w:rPr>
        <w:t>ісексуали</w:t>
      </w:r>
      <w:proofErr w:type="spellEnd"/>
      <w:r w:rsidR="004D017F">
        <w:rPr>
          <w:lang w:val="uk-UA"/>
        </w:rPr>
        <w:t xml:space="preserve">, </w:t>
      </w:r>
      <w:proofErr w:type="spellStart"/>
      <w:r w:rsidR="004D017F">
        <w:rPr>
          <w:lang w:val="uk-UA"/>
        </w:rPr>
        <w:t>трансґендери</w:t>
      </w:r>
      <w:proofErr w:type="spellEnd"/>
      <w:r w:rsidRPr="0009110F">
        <w:rPr>
          <w:lang w:val="uk-UA"/>
        </w:rPr>
        <w:t xml:space="preserve"> </w:t>
      </w:r>
      <w:r w:rsidR="004D017F">
        <w:rPr>
          <w:lang w:val="uk-UA"/>
        </w:rPr>
        <w:t xml:space="preserve">та </w:t>
      </w:r>
      <w:proofErr w:type="spellStart"/>
      <w:r w:rsidR="004D017F">
        <w:rPr>
          <w:lang w:val="uk-UA"/>
        </w:rPr>
        <w:t>і</w:t>
      </w:r>
      <w:r w:rsidRPr="0009110F">
        <w:rPr>
          <w:lang w:val="uk-UA"/>
        </w:rPr>
        <w:t>нтерсексуал</w:t>
      </w:r>
      <w:r w:rsidR="004D017F">
        <w:rPr>
          <w:lang w:val="uk-UA"/>
        </w:rPr>
        <w:t>и</w:t>
      </w:r>
      <w:proofErr w:type="spellEnd"/>
      <w:r w:rsidR="004D017F">
        <w:rPr>
          <w:lang w:val="uk-UA"/>
        </w:rPr>
        <w:t xml:space="preserve"> підліткового віку</w:t>
      </w:r>
    </w:p>
    <w:p w:rsidR="00A007F8" w:rsidRPr="0009110F" w:rsidRDefault="00A007F8" w:rsidP="00A007F8">
      <w:pPr>
        <w:pStyle w:val="SingleTxtGR"/>
        <w:rPr>
          <w:lang w:val="uk-UA"/>
        </w:rPr>
      </w:pPr>
      <w:r w:rsidRPr="0009110F">
        <w:rPr>
          <w:lang w:val="uk-UA"/>
        </w:rPr>
        <w:t>33.</w:t>
      </w:r>
      <w:r w:rsidRPr="0009110F">
        <w:rPr>
          <w:lang w:val="uk-UA"/>
        </w:rPr>
        <w:tab/>
      </w:r>
      <w:r w:rsidR="004D017F">
        <w:rPr>
          <w:lang w:val="uk-UA"/>
        </w:rPr>
        <w:t>Підлітки, які є лесбіянками</w:t>
      </w:r>
      <w:r w:rsidR="004D017F" w:rsidRPr="004D017F">
        <w:rPr>
          <w:lang w:val="uk-UA"/>
        </w:rPr>
        <w:t xml:space="preserve">, </w:t>
      </w:r>
      <w:proofErr w:type="spellStart"/>
      <w:r w:rsidR="004D017F" w:rsidRPr="004D017F">
        <w:rPr>
          <w:lang w:val="uk-UA"/>
        </w:rPr>
        <w:t>гомосексуаліс</w:t>
      </w:r>
      <w:r w:rsidR="004D017F">
        <w:rPr>
          <w:lang w:val="uk-UA"/>
        </w:rPr>
        <w:t>ами</w:t>
      </w:r>
      <w:proofErr w:type="spellEnd"/>
      <w:r w:rsidR="004D017F" w:rsidRPr="004D017F">
        <w:rPr>
          <w:lang w:val="uk-UA"/>
        </w:rPr>
        <w:t xml:space="preserve">, </w:t>
      </w:r>
      <w:proofErr w:type="spellStart"/>
      <w:r w:rsidR="004D017F" w:rsidRPr="004D017F">
        <w:rPr>
          <w:lang w:val="uk-UA"/>
        </w:rPr>
        <w:t>бісексуал</w:t>
      </w:r>
      <w:r w:rsidR="004D017F">
        <w:rPr>
          <w:lang w:val="uk-UA"/>
        </w:rPr>
        <w:t>ами</w:t>
      </w:r>
      <w:proofErr w:type="spellEnd"/>
      <w:r w:rsidR="004D017F">
        <w:rPr>
          <w:lang w:val="uk-UA"/>
        </w:rPr>
        <w:t xml:space="preserve">, </w:t>
      </w:r>
      <w:proofErr w:type="spellStart"/>
      <w:r w:rsidR="004D017F">
        <w:rPr>
          <w:lang w:val="uk-UA"/>
        </w:rPr>
        <w:t>трансґ</w:t>
      </w:r>
      <w:r w:rsidR="004D017F" w:rsidRPr="004D017F">
        <w:rPr>
          <w:lang w:val="uk-UA"/>
        </w:rPr>
        <w:t>ендер</w:t>
      </w:r>
      <w:r w:rsidR="004D017F">
        <w:rPr>
          <w:lang w:val="uk-UA"/>
        </w:rPr>
        <w:t>ами</w:t>
      </w:r>
      <w:proofErr w:type="spellEnd"/>
      <w:r w:rsidR="004D017F">
        <w:rPr>
          <w:lang w:val="uk-UA"/>
        </w:rPr>
        <w:t xml:space="preserve"> та </w:t>
      </w:r>
      <w:proofErr w:type="spellStart"/>
      <w:r w:rsidR="004D017F" w:rsidRPr="004D017F">
        <w:rPr>
          <w:lang w:val="uk-UA"/>
        </w:rPr>
        <w:t>інтерсексуал</w:t>
      </w:r>
      <w:r w:rsidR="004D017F">
        <w:rPr>
          <w:lang w:val="uk-UA"/>
        </w:rPr>
        <w:t>ами</w:t>
      </w:r>
      <w:proofErr w:type="spellEnd"/>
      <w:r w:rsidR="004D017F">
        <w:rPr>
          <w:lang w:val="uk-UA"/>
        </w:rPr>
        <w:t xml:space="preserve"> зазвичай </w:t>
      </w:r>
      <w:r w:rsidR="004D017F" w:rsidRPr="004D017F">
        <w:rPr>
          <w:lang w:val="uk-UA"/>
        </w:rPr>
        <w:t xml:space="preserve">піддаються переслідуванням, </w:t>
      </w:r>
      <w:r w:rsidR="004D017F">
        <w:rPr>
          <w:lang w:val="uk-UA"/>
        </w:rPr>
        <w:t xml:space="preserve">зокрема, потерпають від </w:t>
      </w:r>
      <w:r w:rsidR="004D017F" w:rsidRPr="004D017F">
        <w:rPr>
          <w:lang w:val="uk-UA"/>
        </w:rPr>
        <w:t>жорсток</w:t>
      </w:r>
      <w:r w:rsidR="004D017F">
        <w:rPr>
          <w:lang w:val="uk-UA"/>
        </w:rPr>
        <w:t>ого поводження і насильства</w:t>
      </w:r>
      <w:r w:rsidR="004D017F" w:rsidRPr="004D017F">
        <w:rPr>
          <w:lang w:val="uk-UA"/>
        </w:rPr>
        <w:t xml:space="preserve">, </w:t>
      </w:r>
      <w:r w:rsidR="004D017F">
        <w:rPr>
          <w:lang w:val="uk-UA"/>
        </w:rPr>
        <w:t>стигми, дискримінації</w:t>
      </w:r>
      <w:r w:rsidR="004D017F" w:rsidRPr="004D017F">
        <w:rPr>
          <w:lang w:val="uk-UA"/>
        </w:rPr>
        <w:t xml:space="preserve"> </w:t>
      </w:r>
      <w:r w:rsidR="004D017F">
        <w:rPr>
          <w:lang w:val="uk-UA"/>
        </w:rPr>
        <w:t xml:space="preserve">та </w:t>
      </w:r>
      <w:r w:rsidR="004D017F" w:rsidRPr="004D017F">
        <w:rPr>
          <w:lang w:val="uk-UA"/>
        </w:rPr>
        <w:t>цькуван</w:t>
      </w:r>
      <w:r w:rsidR="004D017F">
        <w:rPr>
          <w:lang w:val="uk-UA"/>
        </w:rPr>
        <w:t xml:space="preserve">ь, обмежуються у можливостях </w:t>
      </w:r>
      <w:r w:rsidR="004D017F" w:rsidRPr="004D017F">
        <w:rPr>
          <w:lang w:val="uk-UA"/>
        </w:rPr>
        <w:t>здобу</w:t>
      </w:r>
      <w:r w:rsidR="004D017F">
        <w:rPr>
          <w:lang w:val="uk-UA"/>
        </w:rPr>
        <w:t xml:space="preserve">вати </w:t>
      </w:r>
      <w:r w:rsidR="004D017F" w:rsidRPr="004D017F">
        <w:rPr>
          <w:lang w:val="uk-UA"/>
        </w:rPr>
        <w:t xml:space="preserve">освіту і професійну підготовку, а також </w:t>
      </w:r>
      <w:r w:rsidR="004D017F">
        <w:rPr>
          <w:lang w:val="uk-UA"/>
        </w:rPr>
        <w:t xml:space="preserve">страждають </w:t>
      </w:r>
      <w:r w:rsidR="004D017F" w:rsidRPr="004D017F">
        <w:rPr>
          <w:lang w:val="uk-UA"/>
        </w:rPr>
        <w:t xml:space="preserve">від </w:t>
      </w:r>
      <w:r w:rsidR="004D017F">
        <w:rPr>
          <w:lang w:val="uk-UA"/>
        </w:rPr>
        <w:t xml:space="preserve">браку </w:t>
      </w:r>
      <w:r w:rsidR="004D017F" w:rsidRPr="004D017F">
        <w:rPr>
          <w:lang w:val="uk-UA"/>
        </w:rPr>
        <w:t xml:space="preserve">сімейної та соціальної підтримки або доступу до послуг </w:t>
      </w:r>
      <w:r w:rsidR="004D017F">
        <w:rPr>
          <w:lang w:val="uk-UA"/>
        </w:rPr>
        <w:t xml:space="preserve">та інформації про </w:t>
      </w:r>
      <w:r w:rsidR="004D017F" w:rsidRPr="004D017F">
        <w:rPr>
          <w:lang w:val="uk-UA"/>
        </w:rPr>
        <w:t>сексуальн</w:t>
      </w:r>
      <w:r w:rsidR="004D017F">
        <w:rPr>
          <w:lang w:val="uk-UA"/>
        </w:rPr>
        <w:t xml:space="preserve">е </w:t>
      </w:r>
      <w:r w:rsidR="004D017F" w:rsidRPr="004D017F">
        <w:rPr>
          <w:lang w:val="uk-UA"/>
        </w:rPr>
        <w:t>і репродуктивн</w:t>
      </w:r>
      <w:r w:rsidR="004D017F">
        <w:rPr>
          <w:lang w:val="uk-UA"/>
        </w:rPr>
        <w:t>е здоров’</w:t>
      </w:r>
      <w:r w:rsidR="004D017F" w:rsidRPr="004D017F">
        <w:rPr>
          <w:lang w:val="uk-UA"/>
        </w:rPr>
        <w:t>я</w:t>
      </w:r>
      <w:r w:rsidR="004D017F" w:rsidRPr="0009110F">
        <w:rPr>
          <w:sz w:val="18"/>
          <w:vertAlign w:val="superscript"/>
          <w:lang w:val="uk-UA"/>
        </w:rPr>
        <w:footnoteReference w:id="16"/>
      </w:r>
      <w:r w:rsidR="004D017F" w:rsidRPr="004D017F">
        <w:rPr>
          <w:lang w:val="uk-UA"/>
        </w:rPr>
        <w:t xml:space="preserve">. </w:t>
      </w:r>
      <w:r w:rsidR="004D017F">
        <w:rPr>
          <w:lang w:val="uk-UA"/>
        </w:rPr>
        <w:t>У виключних випадках вони зазнають насильницьких дій сексуального характеру, стають жертвами зґвалтувань і навіть гинуть. Подібні випадки пов’</w:t>
      </w:r>
      <w:r w:rsidR="004D017F" w:rsidRPr="004D017F">
        <w:rPr>
          <w:lang w:val="uk-UA"/>
        </w:rPr>
        <w:t>яз</w:t>
      </w:r>
      <w:r w:rsidR="004D017F">
        <w:rPr>
          <w:lang w:val="uk-UA"/>
        </w:rPr>
        <w:t xml:space="preserve">ують </w:t>
      </w:r>
      <w:r w:rsidR="004D017F" w:rsidRPr="004D017F">
        <w:rPr>
          <w:lang w:val="uk-UA"/>
        </w:rPr>
        <w:t xml:space="preserve">з низькою самооцінкою, </w:t>
      </w:r>
      <w:r w:rsidR="004D017F">
        <w:rPr>
          <w:lang w:val="uk-UA"/>
        </w:rPr>
        <w:t xml:space="preserve">вищими </w:t>
      </w:r>
      <w:r w:rsidR="004D017F" w:rsidRPr="004D017F">
        <w:rPr>
          <w:lang w:val="uk-UA"/>
        </w:rPr>
        <w:t>показниками депресії, самогубств</w:t>
      </w:r>
      <w:r w:rsidR="004D017F">
        <w:rPr>
          <w:lang w:val="uk-UA"/>
        </w:rPr>
        <w:t>ами та безпритульністю</w:t>
      </w:r>
      <w:r w:rsidRPr="0009110F">
        <w:rPr>
          <w:sz w:val="18"/>
          <w:vertAlign w:val="superscript"/>
          <w:lang w:val="uk-UA"/>
        </w:rPr>
        <w:footnoteReference w:id="17"/>
      </w:r>
      <w:r w:rsidRPr="0009110F">
        <w:rPr>
          <w:lang w:val="uk-UA"/>
        </w:rPr>
        <w:t>.</w:t>
      </w:r>
    </w:p>
    <w:p w:rsidR="00A007F8" w:rsidRPr="00C1037F" w:rsidRDefault="00A007F8" w:rsidP="009402A5">
      <w:pPr>
        <w:pStyle w:val="SingleTxtGR"/>
        <w:rPr>
          <w:lang w:val="uk-UA"/>
        </w:rPr>
      </w:pPr>
      <w:r w:rsidRPr="00C1037F">
        <w:rPr>
          <w:lang w:val="uk-UA"/>
        </w:rPr>
        <w:t>34.</w:t>
      </w:r>
      <w:r w:rsidRPr="00C1037F">
        <w:rPr>
          <w:lang w:val="uk-UA"/>
        </w:rPr>
        <w:tab/>
      </w:r>
      <w:r w:rsidR="009402A5" w:rsidRPr="009402A5">
        <w:rPr>
          <w:lang w:val="uk-UA"/>
        </w:rPr>
        <w:t>Комітет особливо відзначає права всіх підлітків на сво</w:t>
      </w:r>
      <w:r w:rsidR="009402A5">
        <w:rPr>
          <w:lang w:val="uk-UA"/>
        </w:rPr>
        <w:t>боду вираження думок і повагу до їхньої</w:t>
      </w:r>
      <w:r w:rsidR="009402A5" w:rsidRPr="009402A5">
        <w:rPr>
          <w:lang w:val="uk-UA"/>
        </w:rPr>
        <w:t xml:space="preserve"> фізичної та псих</w:t>
      </w:r>
      <w:r w:rsidR="009402A5">
        <w:rPr>
          <w:lang w:val="uk-UA"/>
        </w:rPr>
        <w:t>ологічної недоторканності, ґ</w:t>
      </w:r>
      <w:r w:rsidR="009402A5" w:rsidRPr="009402A5">
        <w:rPr>
          <w:lang w:val="uk-UA"/>
        </w:rPr>
        <w:t xml:space="preserve">ендерної ідентичності і </w:t>
      </w:r>
      <w:r w:rsidR="009402A5">
        <w:rPr>
          <w:lang w:val="uk-UA"/>
        </w:rPr>
        <w:t>зростаючої самостійності</w:t>
      </w:r>
      <w:r w:rsidR="009402A5" w:rsidRPr="009402A5">
        <w:rPr>
          <w:lang w:val="uk-UA"/>
        </w:rPr>
        <w:t xml:space="preserve">. </w:t>
      </w:r>
      <w:r w:rsidR="009402A5">
        <w:rPr>
          <w:lang w:val="uk-UA"/>
        </w:rPr>
        <w:t>Комітет засуджує нав’язування так званого «лікування» у</w:t>
      </w:r>
      <w:r w:rsidR="009402A5" w:rsidRPr="009402A5">
        <w:rPr>
          <w:lang w:val="uk-UA"/>
        </w:rPr>
        <w:t xml:space="preserve"> спробах змінити сексуальну орієнтацію і примусові хірургічні опера</w:t>
      </w:r>
      <w:r w:rsidR="009402A5">
        <w:rPr>
          <w:lang w:val="uk-UA"/>
        </w:rPr>
        <w:t>ції чи</w:t>
      </w:r>
      <w:r w:rsidR="009402A5" w:rsidRPr="009402A5">
        <w:rPr>
          <w:lang w:val="uk-UA"/>
        </w:rPr>
        <w:t xml:space="preserve"> лікування підлітків</w:t>
      </w:r>
      <w:r w:rsidR="009402A5">
        <w:rPr>
          <w:lang w:val="uk-UA"/>
        </w:rPr>
        <w:t>-</w:t>
      </w:r>
      <w:proofErr w:type="spellStart"/>
      <w:r w:rsidR="009402A5">
        <w:rPr>
          <w:lang w:val="uk-UA"/>
        </w:rPr>
        <w:t>інтерсексуалів</w:t>
      </w:r>
      <w:proofErr w:type="spellEnd"/>
      <w:r w:rsidR="009402A5" w:rsidRPr="009402A5">
        <w:rPr>
          <w:lang w:val="uk-UA"/>
        </w:rPr>
        <w:t xml:space="preserve">. Він закликає держави </w:t>
      </w:r>
      <w:r w:rsidR="009402A5" w:rsidRPr="009402A5">
        <w:rPr>
          <w:lang w:val="uk-UA"/>
        </w:rPr>
        <w:lastRenderedPageBreak/>
        <w:t xml:space="preserve">відмовитися від такої практики, скасувати всі закони, </w:t>
      </w:r>
      <w:r w:rsidR="009402A5">
        <w:rPr>
          <w:lang w:val="uk-UA"/>
        </w:rPr>
        <w:t xml:space="preserve">що передбачають кримінальне переслідування або у будь-який інший спосіб дискримінують </w:t>
      </w:r>
      <w:r w:rsidR="004F2AAE">
        <w:rPr>
          <w:lang w:val="uk-UA"/>
        </w:rPr>
        <w:t xml:space="preserve">осіб </w:t>
      </w:r>
      <w:r w:rsidR="009402A5" w:rsidRPr="009402A5">
        <w:rPr>
          <w:lang w:val="uk-UA"/>
        </w:rPr>
        <w:t>за ознакою їх сексуальн</w:t>
      </w:r>
      <w:r w:rsidR="009402A5">
        <w:rPr>
          <w:lang w:val="uk-UA"/>
        </w:rPr>
        <w:t>ої орієнтації, ґ</w:t>
      </w:r>
      <w:r w:rsidR="009402A5" w:rsidRPr="009402A5">
        <w:rPr>
          <w:lang w:val="uk-UA"/>
        </w:rPr>
        <w:t xml:space="preserve">ендерної ідентичності або </w:t>
      </w:r>
      <w:r w:rsidR="004F2AAE">
        <w:rPr>
          <w:lang w:val="uk-UA"/>
        </w:rPr>
        <w:t xml:space="preserve">за </w:t>
      </w:r>
      <w:r w:rsidR="009402A5">
        <w:rPr>
          <w:lang w:val="uk-UA"/>
        </w:rPr>
        <w:t>статусом інтерсексуальності</w:t>
      </w:r>
      <w:r w:rsidR="009402A5" w:rsidRPr="009402A5">
        <w:rPr>
          <w:lang w:val="uk-UA"/>
        </w:rPr>
        <w:t xml:space="preserve">, і </w:t>
      </w:r>
      <w:r w:rsidR="009402A5">
        <w:rPr>
          <w:lang w:val="uk-UA"/>
        </w:rPr>
        <w:t xml:space="preserve">ухвалити </w:t>
      </w:r>
      <w:r w:rsidR="009402A5" w:rsidRPr="009402A5">
        <w:rPr>
          <w:lang w:val="uk-UA"/>
        </w:rPr>
        <w:t>закони, що забороняють дискримінацію за такими ознаками. Державам також слід вживати ефективних заходів для захисту всіх лесбіянок, гомос</w:t>
      </w:r>
      <w:r w:rsidR="009402A5">
        <w:rPr>
          <w:lang w:val="uk-UA"/>
        </w:rPr>
        <w:t xml:space="preserve">ексуалістів, </w:t>
      </w:r>
      <w:proofErr w:type="spellStart"/>
      <w:r w:rsidR="009402A5">
        <w:rPr>
          <w:lang w:val="uk-UA"/>
        </w:rPr>
        <w:t>бісексуалів</w:t>
      </w:r>
      <w:proofErr w:type="spellEnd"/>
      <w:r w:rsidR="009402A5">
        <w:rPr>
          <w:lang w:val="uk-UA"/>
        </w:rPr>
        <w:t xml:space="preserve">, </w:t>
      </w:r>
      <w:proofErr w:type="spellStart"/>
      <w:r w:rsidR="009402A5">
        <w:rPr>
          <w:lang w:val="uk-UA"/>
        </w:rPr>
        <w:t>трансґ</w:t>
      </w:r>
      <w:r w:rsidR="009402A5" w:rsidRPr="009402A5">
        <w:rPr>
          <w:lang w:val="uk-UA"/>
        </w:rPr>
        <w:t>ендерів</w:t>
      </w:r>
      <w:proofErr w:type="spellEnd"/>
      <w:r w:rsidR="009402A5" w:rsidRPr="009402A5">
        <w:rPr>
          <w:lang w:val="uk-UA"/>
        </w:rPr>
        <w:t xml:space="preserve"> та </w:t>
      </w:r>
      <w:proofErr w:type="spellStart"/>
      <w:r w:rsidR="009402A5" w:rsidRPr="009402A5">
        <w:rPr>
          <w:lang w:val="uk-UA"/>
        </w:rPr>
        <w:t>інтерсексуалів</w:t>
      </w:r>
      <w:proofErr w:type="spellEnd"/>
      <w:r w:rsidR="009402A5" w:rsidRPr="009402A5">
        <w:rPr>
          <w:lang w:val="uk-UA"/>
        </w:rPr>
        <w:t xml:space="preserve"> підліткового віку від </w:t>
      </w:r>
      <w:r w:rsidR="009402A5">
        <w:rPr>
          <w:lang w:val="uk-UA"/>
        </w:rPr>
        <w:t xml:space="preserve">усіх </w:t>
      </w:r>
      <w:r w:rsidR="009402A5" w:rsidRPr="009402A5">
        <w:rPr>
          <w:lang w:val="uk-UA"/>
        </w:rPr>
        <w:t xml:space="preserve">форм насильства, дискримінації або цькування шляхом підвищення </w:t>
      </w:r>
      <w:r w:rsidR="009402A5">
        <w:rPr>
          <w:lang w:val="uk-UA"/>
        </w:rPr>
        <w:t xml:space="preserve">громадської </w:t>
      </w:r>
      <w:r w:rsidR="009402A5" w:rsidRPr="009402A5">
        <w:rPr>
          <w:lang w:val="uk-UA"/>
        </w:rPr>
        <w:t xml:space="preserve">обізнаності та </w:t>
      </w:r>
      <w:r w:rsidR="009402A5">
        <w:rPr>
          <w:lang w:val="uk-UA"/>
        </w:rPr>
        <w:t>здійснення заходів з бе</w:t>
      </w:r>
      <w:r w:rsidR="009402A5" w:rsidRPr="009402A5">
        <w:rPr>
          <w:lang w:val="uk-UA"/>
        </w:rPr>
        <w:t>зпеки і підтримки</w:t>
      </w:r>
      <w:r w:rsidRPr="00C1037F">
        <w:rPr>
          <w:lang w:val="uk-UA"/>
        </w:rPr>
        <w:t xml:space="preserve">. </w:t>
      </w:r>
    </w:p>
    <w:p w:rsidR="00A007F8" w:rsidRPr="00C1037F" w:rsidRDefault="00A007F8" w:rsidP="0067613A">
      <w:pPr>
        <w:pStyle w:val="H23GR"/>
        <w:rPr>
          <w:lang w:val="uk-UA"/>
        </w:rPr>
      </w:pPr>
      <w:r w:rsidRPr="00C1037F">
        <w:rPr>
          <w:lang w:val="uk-UA"/>
        </w:rPr>
        <w:tab/>
      </w:r>
      <w:r w:rsidRPr="00C1037F">
        <w:rPr>
          <w:lang w:val="uk-UA"/>
        </w:rPr>
        <w:tab/>
        <w:t>П</w:t>
      </w:r>
      <w:r w:rsidR="008E526B">
        <w:rPr>
          <w:lang w:val="uk-UA"/>
        </w:rPr>
        <w:t xml:space="preserve">ідлітки з числа етнічних меншин та </w:t>
      </w:r>
      <w:r w:rsidR="004F7E42">
        <w:rPr>
          <w:lang w:val="uk-UA"/>
        </w:rPr>
        <w:t>корінного населення</w:t>
      </w:r>
    </w:p>
    <w:p w:rsidR="004F7E42" w:rsidRDefault="00A007F8" w:rsidP="00A007F8">
      <w:pPr>
        <w:pStyle w:val="SingleTxtGR"/>
        <w:rPr>
          <w:lang w:val="uk-UA"/>
        </w:rPr>
      </w:pPr>
      <w:r w:rsidRPr="00C1037F">
        <w:rPr>
          <w:lang w:val="uk-UA"/>
        </w:rPr>
        <w:t>35.</w:t>
      </w:r>
      <w:r w:rsidRPr="00C1037F">
        <w:rPr>
          <w:lang w:val="uk-UA"/>
        </w:rPr>
        <w:tab/>
      </w:r>
      <w:r w:rsidR="004F7E42">
        <w:rPr>
          <w:lang w:val="uk-UA"/>
        </w:rPr>
        <w:t>Недостатня</w:t>
      </w:r>
      <w:r w:rsidR="004F7E42" w:rsidRPr="004F7E42">
        <w:rPr>
          <w:lang w:val="uk-UA"/>
        </w:rPr>
        <w:t xml:space="preserve"> </w:t>
      </w:r>
      <w:r w:rsidR="004F7E42">
        <w:rPr>
          <w:lang w:val="uk-UA"/>
        </w:rPr>
        <w:t xml:space="preserve">увага та брак поваги </w:t>
      </w:r>
      <w:r w:rsidR="004F7E42" w:rsidRPr="004F7E42">
        <w:rPr>
          <w:lang w:val="uk-UA"/>
        </w:rPr>
        <w:t xml:space="preserve">до культури, цінностей та світогляду підлітків з числа </w:t>
      </w:r>
      <w:r w:rsidR="004F7E42">
        <w:rPr>
          <w:lang w:val="uk-UA"/>
        </w:rPr>
        <w:t xml:space="preserve">етнічних </w:t>
      </w:r>
      <w:r w:rsidR="004F7E42" w:rsidRPr="004F7E42">
        <w:rPr>
          <w:lang w:val="uk-UA"/>
        </w:rPr>
        <w:t xml:space="preserve">меншин і </w:t>
      </w:r>
      <w:r w:rsidR="004F7E42">
        <w:rPr>
          <w:lang w:val="uk-UA"/>
        </w:rPr>
        <w:t xml:space="preserve">корінного </w:t>
      </w:r>
      <w:r w:rsidR="004F7E42" w:rsidRPr="004F7E42">
        <w:rPr>
          <w:lang w:val="uk-UA"/>
        </w:rPr>
        <w:t xml:space="preserve">населення може призвести до </w:t>
      </w:r>
      <w:r w:rsidR="004F7E42">
        <w:rPr>
          <w:lang w:val="uk-UA"/>
        </w:rPr>
        <w:t xml:space="preserve">їх </w:t>
      </w:r>
      <w:r w:rsidR="004F7E42" w:rsidRPr="004F7E42">
        <w:rPr>
          <w:lang w:val="uk-UA"/>
        </w:rPr>
        <w:t>дискримінації, соціально</w:t>
      </w:r>
      <w:r w:rsidR="004F7E42">
        <w:rPr>
          <w:lang w:val="uk-UA"/>
        </w:rPr>
        <w:t>го відчуження</w:t>
      </w:r>
      <w:r w:rsidR="004F7E42" w:rsidRPr="004F7E42">
        <w:rPr>
          <w:lang w:val="uk-UA"/>
        </w:rPr>
        <w:t xml:space="preserve">, маргіналізації і недопущення в </w:t>
      </w:r>
      <w:r w:rsidR="004F7E42">
        <w:rPr>
          <w:lang w:val="uk-UA"/>
        </w:rPr>
        <w:t xml:space="preserve">громадські </w:t>
      </w:r>
      <w:r w:rsidR="004F7E42" w:rsidRPr="004F7E42">
        <w:rPr>
          <w:lang w:val="uk-UA"/>
        </w:rPr>
        <w:t xml:space="preserve">місця. Це підвищує вразливість підлітків з числа </w:t>
      </w:r>
      <w:r w:rsidR="004F7E42">
        <w:rPr>
          <w:lang w:val="uk-UA"/>
        </w:rPr>
        <w:t xml:space="preserve">етнічних </w:t>
      </w:r>
      <w:r w:rsidR="004F7E42" w:rsidRPr="004F7E42">
        <w:rPr>
          <w:lang w:val="uk-UA"/>
        </w:rPr>
        <w:t xml:space="preserve">меншин і </w:t>
      </w:r>
      <w:r w:rsidR="004F7E42">
        <w:rPr>
          <w:lang w:val="uk-UA"/>
        </w:rPr>
        <w:t xml:space="preserve">корінних </w:t>
      </w:r>
      <w:r w:rsidR="004F7E42" w:rsidRPr="004F7E42">
        <w:rPr>
          <w:lang w:val="uk-UA"/>
        </w:rPr>
        <w:t xml:space="preserve">народів до </w:t>
      </w:r>
      <w:r w:rsidR="004F7E42">
        <w:rPr>
          <w:lang w:val="uk-UA"/>
        </w:rPr>
        <w:t xml:space="preserve">бідності, </w:t>
      </w:r>
      <w:r w:rsidR="004F7E42" w:rsidRPr="004F7E42">
        <w:rPr>
          <w:lang w:val="uk-UA"/>
        </w:rPr>
        <w:t xml:space="preserve">соціальної несправедливості, </w:t>
      </w:r>
      <w:r w:rsidR="004F7E42">
        <w:rPr>
          <w:lang w:val="uk-UA"/>
        </w:rPr>
        <w:t>проблем психічного здоров’я</w:t>
      </w:r>
      <w:r w:rsidR="004F7E42" w:rsidRPr="004F7E42">
        <w:rPr>
          <w:lang w:val="uk-UA"/>
        </w:rPr>
        <w:t xml:space="preserve">, включаючи непропорційно </w:t>
      </w:r>
      <w:r w:rsidR="004F7E42">
        <w:rPr>
          <w:lang w:val="uk-UA"/>
        </w:rPr>
        <w:t xml:space="preserve">високі показники </w:t>
      </w:r>
      <w:r w:rsidR="004F7E42" w:rsidRPr="004F7E42">
        <w:rPr>
          <w:lang w:val="uk-UA"/>
        </w:rPr>
        <w:t xml:space="preserve">самогубств, </w:t>
      </w:r>
      <w:r w:rsidR="004F7E42">
        <w:rPr>
          <w:lang w:val="uk-UA"/>
        </w:rPr>
        <w:t xml:space="preserve">неуспішність у навчанні та їх значний відсоток </w:t>
      </w:r>
      <w:r w:rsidR="004F7E42" w:rsidRPr="004F7E42">
        <w:rPr>
          <w:lang w:val="uk-UA"/>
        </w:rPr>
        <w:t>серед осіб, які утримуються в установах системи кримінального правосуддя</w:t>
      </w:r>
      <w:r w:rsidR="004F7E42">
        <w:rPr>
          <w:lang w:val="uk-UA"/>
        </w:rPr>
        <w:t xml:space="preserve">. </w:t>
      </w:r>
    </w:p>
    <w:p w:rsidR="004F7E42" w:rsidRDefault="00A007F8" w:rsidP="00A007F8">
      <w:pPr>
        <w:pStyle w:val="SingleTxtGR"/>
        <w:rPr>
          <w:lang w:val="uk-UA"/>
        </w:rPr>
      </w:pPr>
      <w:r w:rsidRPr="00C1037F">
        <w:rPr>
          <w:lang w:val="uk-UA"/>
        </w:rPr>
        <w:t>36.</w:t>
      </w:r>
      <w:r w:rsidRPr="00C1037F">
        <w:rPr>
          <w:lang w:val="uk-UA"/>
        </w:rPr>
        <w:tab/>
      </w:r>
      <w:r w:rsidR="004F7E42" w:rsidRPr="004F7E42">
        <w:rPr>
          <w:lang w:val="uk-UA"/>
        </w:rPr>
        <w:t>Комітет закликає держави-учасни</w:t>
      </w:r>
      <w:r w:rsidR="004F7E42">
        <w:rPr>
          <w:lang w:val="uk-UA"/>
        </w:rPr>
        <w:t xml:space="preserve">ці запровадити заходи </w:t>
      </w:r>
      <w:r w:rsidR="004F7E42" w:rsidRPr="004F7E42">
        <w:rPr>
          <w:lang w:val="uk-UA"/>
        </w:rPr>
        <w:t xml:space="preserve">з підтримки підлітків </w:t>
      </w:r>
      <w:r w:rsidR="004F7E42">
        <w:rPr>
          <w:lang w:val="uk-UA"/>
        </w:rPr>
        <w:t xml:space="preserve">(особливо дівчат) </w:t>
      </w:r>
      <w:r w:rsidR="004F7E42" w:rsidRPr="004F7E42">
        <w:rPr>
          <w:lang w:val="uk-UA"/>
        </w:rPr>
        <w:t>з</w:t>
      </w:r>
      <w:r w:rsidR="004F7E42">
        <w:rPr>
          <w:lang w:val="uk-UA"/>
        </w:rPr>
        <w:t xml:space="preserve">і спільнот </w:t>
      </w:r>
      <w:r w:rsidR="004F7E42" w:rsidRPr="004F7E42">
        <w:rPr>
          <w:lang w:val="uk-UA"/>
        </w:rPr>
        <w:t xml:space="preserve">національних меншин і </w:t>
      </w:r>
      <w:r w:rsidR="004F7E42">
        <w:rPr>
          <w:lang w:val="uk-UA"/>
        </w:rPr>
        <w:t xml:space="preserve">корінного </w:t>
      </w:r>
      <w:r w:rsidR="004F7E42" w:rsidRPr="004F7E42">
        <w:rPr>
          <w:lang w:val="uk-UA"/>
        </w:rPr>
        <w:t xml:space="preserve">населення, щоб вони могли успішно зберігати свою культурну самобутність, </w:t>
      </w:r>
      <w:r w:rsidR="004F7E42">
        <w:rPr>
          <w:lang w:val="uk-UA"/>
        </w:rPr>
        <w:t xml:space="preserve">і </w:t>
      </w:r>
      <w:r w:rsidR="004F7E42" w:rsidRPr="004F7E42">
        <w:rPr>
          <w:lang w:val="uk-UA"/>
        </w:rPr>
        <w:t xml:space="preserve">спираючись на </w:t>
      </w:r>
      <w:r w:rsidR="004F7E42">
        <w:rPr>
          <w:lang w:val="uk-UA"/>
        </w:rPr>
        <w:t xml:space="preserve">сильні сторони своєї </w:t>
      </w:r>
      <w:r w:rsidR="004F7E42" w:rsidRPr="004F7E42">
        <w:rPr>
          <w:lang w:val="uk-UA"/>
        </w:rPr>
        <w:t xml:space="preserve">культури, </w:t>
      </w:r>
      <w:r w:rsidR="004F7E42">
        <w:rPr>
          <w:lang w:val="uk-UA"/>
        </w:rPr>
        <w:t xml:space="preserve">ставали </w:t>
      </w:r>
      <w:r w:rsidR="004F7E42" w:rsidRPr="004F7E42">
        <w:rPr>
          <w:lang w:val="uk-UA"/>
        </w:rPr>
        <w:t xml:space="preserve">активними учасниками </w:t>
      </w:r>
      <w:r w:rsidR="004F7E42">
        <w:rPr>
          <w:lang w:val="uk-UA"/>
        </w:rPr>
        <w:t xml:space="preserve">родинного і громадського </w:t>
      </w:r>
      <w:r w:rsidR="004F7E42" w:rsidRPr="004F7E42">
        <w:rPr>
          <w:lang w:val="uk-UA"/>
        </w:rPr>
        <w:t xml:space="preserve">життя. У той же час державам слід враховувати </w:t>
      </w:r>
      <w:r w:rsidR="004F7E42">
        <w:rPr>
          <w:lang w:val="uk-UA"/>
        </w:rPr>
        <w:t xml:space="preserve">комплексні </w:t>
      </w:r>
      <w:r w:rsidR="004F7E42" w:rsidRPr="004F7E42">
        <w:rPr>
          <w:lang w:val="uk-UA"/>
        </w:rPr>
        <w:t>рекомендації, що містяться в зауваженні загального порядку Комітету № 11 (2009) про дітей з числа корінн</w:t>
      </w:r>
      <w:r w:rsidR="004F7E42">
        <w:rPr>
          <w:lang w:val="uk-UA"/>
        </w:rPr>
        <w:t xml:space="preserve">ого населення та їхніх </w:t>
      </w:r>
      <w:r w:rsidR="004F7E42" w:rsidRPr="004F7E42">
        <w:rPr>
          <w:lang w:val="uk-UA"/>
        </w:rPr>
        <w:t>прав відповідно до Конвенції</w:t>
      </w:r>
      <w:r w:rsidR="004F7E42">
        <w:rPr>
          <w:lang w:val="uk-UA"/>
        </w:rPr>
        <w:t xml:space="preserve">. </w:t>
      </w:r>
    </w:p>
    <w:p w:rsidR="00A007F8" w:rsidRPr="00C1037F" w:rsidRDefault="004F7E42" w:rsidP="0067613A">
      <w:pPr>
        <w:pStyle w:val="HChGR"/>
        <w:rPr>
          <w:lang w:val="uk-UA"/>
        </w:rPr>
      </w:pPr>
      <w:r>
        <w:rPr>
          <w:lang w:val="uk-UA"/>
        </w:rPr>
        <w:tab/>
        <w:t>VI.</w:t>
      </w:r>
      <w:r>
        <w:rPr>
          <w:lang w:val="uk-UA"/>
        </w:rPr>
        <w:tab/>
        <w:t>Загальні заходи з впровадження</w:t>
      </w:r>
      <w:r w:rsidR="00A007F8" w:rsidRPr="00C1037F">
        <w:rPr>
          <w:lang w:val="uk-UA"/>
        </w:rPr>
        <w:t xml:space="preserve"> </w:t>
      </w:r>
      <w:bookmarkStart w:id="9" w:name="_Toc468797241"/>
      <w:bookmarkEnd w:id="9"/>
    </w:p>
    <w:p w:rsidR="004F7E42" w:rsidRDefault="00A007F8" w:rsidP="00A007F8">
      <w:pPr>
        <w:pStyle w:val="SingleTxtGR"/>
        <w:rPr>
          <w:lang w:val="uk-UA"/>
        </w:rPr>
      </w:pPr>
      <w:r w:rsidRPr="00C1037F">
        <w:rPr>
          <w:lang w:val="uk-UA"/>
        </w:rPr>
        <w:t>37.</w:t>
      </w:r>
      <w:r w:rsidRPr="00C1037F">
        <w:rPr>
          <w:lang w:val="uk-UA"/>
        </w:rPr>
        <w:tab/>
      </w:r>
      <w:r w:rsidR="004F7E42" w:rsidRPr="004F7E42">
        <w:rPr>
          <w:lang w:val="uk-UA"/>
        </w:rPr>
        <w:t xml:space="preserve">Відповідно до зауважень загального порядку № 5 (2003) про загальні заходи </w:t>
      </w:r>
      <w:r w:rsidR="004F7E42">
        <w:rPr>
          <w:lang w:val="uk-UA"/>
        </w:rPr>
        <w:t>з впровадження Конвенції (С</w:t>
      </w:r>
      <w:r w:rsidR="004F7E42" w:rsidRPr="004F7E42">
        <w:rPr>
          <w:lang w:val="uk-UA"/>
        </w:rPr>
        <w:t xml:space="preserve">татті 4, 42 і 44, пункт 6) і № 19 (2016) про </w:t>
      </w:r>
      <w:r w:rsidR="004F7E42">
        <w:rPr>
          <w:lang w:val="uk-UA"/>
        </w:rPr>
        <w:t xml:space="preserve">формування </w:t>
      </w:r>
      <w:r w:rsidR="004F7E42" w:rsidRPr="004F7E42">
        <w:rPr>
          <w:lang w:val="uk-UA"/>
        </w:rPr>
        <w:t>державного бюдж</w:t>
      </w:r>
      <w:r w:rsidR="004F7E42">
        <w:rPr>
          <w:lang w:val="uk-UA"/>
        </w:rPr>
        <w:t>ету для реалізації прав дітей (С</w:t>
      </w:r>
      <w:r w:rsidR="004F7E42" w:rsidRPr="004F7E42">
        <w:rPr>
          <w:lang w:val="uk-UA"/>
        </w:rPr>
        <w:t>таття 4)</w:t>
      </w:r>
      <w:r w:rsidR="004F7E42">
        <w:rPr>
          <w:lang w:val="uk-UA"/>
        </w:rPr>
        <w:t>, Комітет звертає увагу на зобов’</w:t>
      </w:r>
      <w:r w:rsidR="004F7E42" w:rsidRPr="004F7E42">
        <w:rPr>
          <w:lang w:val="uk-UA"/>
        </w:rPr>
        <w:t>язання держав-учасни</w:t>
      </w:r>
      <w:r w:rsidR="004F7E42">
        <w:rPr>
          <w:lang w:val="uk-UA"/>
        </w:rPr>
        <w:t xml:space="preserve">ць </w:t>
      </w:r>
      <w:r w:rsidR="004F7E42" w:rsidRPr="004F7E42">
        <w:rPr>
          <w:lang w:val="uk-UA"/>
        </w:rPr>
        <w:t xml:space="preserve">вживати таких заходів з метою створення </w:t>
      </w:r>
      <w:r w:rsidR="004F7E42">
        <w:rPr>
          <w:lang w:val="uk-UA"/>
        </w:rPr>
        <w:t xml:space="preserve">засад </w:t>
      </w:r>
      <w:r w:rsidR="004F7E42" w:rsidRPr="004F7E42">
        <w:rPr>
          <w:lang w:val="uk-UA"/>
        </w:rPr>
        <w:t xml:space="preserve">для реалізації прав дітей в підлітковому віці. </w:t>
      </w:r>
      <w:r w:rsidR="004F7E42">
        <w:rPr>
          <w:lang w:val="uk-UA"/>
        </w:rPr>
        <w:t>При розробці перелічених нижче заходів д</w:t>
      </w:r>
      <w:r w:rsidR="004F7E42" w:rsidRPr="004F7E42">
        <w:rPr>
          <w:lang w:val="uk-UA"/>
        </w:rPr>
        <w:t xml:space="preserve">освід і думки самих підлітків </w:t>
      </w:r>
      <w:r w:rsidR="004F7E42">
        <w:rPr>
          <w:lang w:val="uk-UA"/>
        </w:rPr>
        <w:t>мають повною мірою враховуватися і сприйматися максимально серйозно:</w:t>
      </w:r>
    </w:p>
    <w:p w:rsidR="00A007F8" w:rsidRPr="004F7E42" w:rsidRDefault="00A007F8" w:rsidP="00A007F8">
      <w:pPr>
        <w:pStyle w:val="SingleTxtGR"/>
        <w:rPr>
          <w:lang w:val="uk-UA"/>
        </w:rPr>
      </w:pPr>
      <w:r w:rsidRPr="00A007F8">
        <w:tab/>
      </w:r>
      <w:r w:rsidRPr="004F7E42">
        <w:rPr>
          <w:lang w:val="uk-UA"/>
        </w:rPr>
        <w:t>a)</w:t>
      </w:r>
      <w:r w:rsidRPr="004F7E42">
        <w:rPr>
          <w:lang w:val="uk-UA"/>
        </w:rPr>
        <w:tab/>
      </w:r>
      <w:r w:rsidR="004F7E42">
        <w:rPr>
          <w:lang w:val="uk-UA"/>
        </w:rPr>
        <w:t>комплексні та</w:t>
      </w:r>
      <w:r w:rsidR="004F7E42" w:rsidRPr="004F7E42">
        <w:rPr>
          <w:lang w:val="uk-UA"/>
        </w:rPr>
        <w:t xml:space="preserve"> багато</w:t>
      </w:r>
      <w:r w:rsidR="004F7E42">
        <w:rPr>
          <w:lang w:val="uk-UA"/>
        </w:rPr>
        <w:t xml:space="preserve">галузеві </w:t>
      </w:r>
      <w:r w:rsidR="004F7E42" w:rsidRPr="004F7E42">
        <w:rPr>
          <w:lang w:val="uk-UA"/>
        </w:rPr>
        <w:t>національні стратегії на основі Конвенції</w:t>
      </w:r>
      <w:r w:rsidR="004F7E42">
        <w:rPr>
          <w:lang w:val="uk-UA"/>
        </w:rPr>
        <w:t xml:space="preserve"> з особливою увагою до підлітків</w:t>
      </w:r>
      <w:r w:rsidR="004F7E42" w:rsidRPr="004F7E42">
        <w:rPr>
          <w:lang w:val="uk-UA"/>
        </w:rPr>
        <w:t xml:space="preserve"> з метою усунення структурних соціально-економічних причин, що лежать в основі порушень прав, з якими стикаються підлітки, і забезпечення скоординованого підходу всіх </w:t>
      </w:r>
      <w:r w:rsidR="004F7E42">
        <w:rPr>
          <w:lang w:val="uk-UA"/>
        </w:rPr>
        <w:t xml:space="preserve">урядових </w:t>
      </w:r>
      <w:r w:rsidR="004F7E42" w:rsidRPr="004F7E42">
        <w:rPr>
          <w:lang w:val="uk-UA"/>
        </w:rPr>
        <w:t>міністерств і відомств</w:t>
      </w:r>
      <w:r w:rsidRPr="004F7E42">
        <w:rPr>
          <w:lang w:val="uk-UA"/>
        </w:rPr>
        <w:t xml:space="preserve">; </w:t>
      </w:r>
    </w:p>
    <w:p w:rsidR="00A007F8" w:rsidRPr="004F7E42" w:rsidRDefault="004F7E42" w:rsidP="00A007F8">
      <w:pPr>
        <w:pStyle w:val="SingleTxtGR"/>
        <w:rPr>
          <w:lang w:val="uk-UA"/>
        </w:rPr>
      </w:pPr>
      <w:r>
        <w:rPr>
          <w:lang w:val="uk-UA"/>
        </w:rPr>
        <w:tab/>
        <w:t>b)</w:t>
      </w:r>
      <w:r>
        <w:rPr>
          <w:lang w:val="uk-UA"/>
        </w:rPr>
        <w:tab/>
        <w:t>моніторинг виконання для забезпечення поваги до прав підлітків у законодавстві, політиці та наданні послуг</w:t>
      </w:r>
      <w:r w:rsidR="00A007F8" w:rsidRPr="004F7E42">
        <w:rPr>
          <w:lang w:val="uk-UA"/>
        </w:rPr>
        <w:t xml:space="preserve">; </w:t>
      </w:r>
    </w:p>
    <w:p w:rsidR="00A007F8" w:rsidRPr="004F7E42" w:rsidRDefault="00A007F8" w:rsidP="00A007F8">
      <w:pPr>
        <w:pStyle w:val="SingleTxtGR"/>
        <w:rPr>
          <w:lang w:val="uk-UA"/>
        </w:rPr>
      </w:pPr>
      <w:r w:rsidRPr="004F7E42">
        <w:rPr>
          <w:lang w:val="uk-UA"/>
        </w:rPr>
        <w:tab/>
        <w:t>c)</w:t>
      </w:r>
      <w:r w:rsidRPr="004F7E42">
        <w:rPr>
          <w:lang w:val="uk-UA"/>
        </w:rPr>
        <w:tab/>
      </w:r>
      <w:r w:rsidR="004F7E42">
        <w:rPr>
          <w:lang w:val="uk-UA"/>
        </w:rPr>
        <w:t>збір даних, деталізованих як мінімум за віком, статтю, інвалідністю, етнічним походженням та соціально-економічним становищем, щоб отримати більш повне уявлення про життя підлітків: Комітет рекомендує державам узгодити спільні показники для відстеження прогресу в реалізації прав підлітків</w:t>
      </w:r>
      <w:r w:rsidRPr="004F7E42">
        <w:rPr>
          <w:lang w:val="uk-UA"/>
        </w:rPr>
        <w:t>;</w:t>
      </w:r>
    </w:p>
    <w:p w:rsidR="00A007F8" w:rsidRPr="004F7E42" w:rsidRDefault="00A007F8" w:rsidP="00A007F8">
      <w:pPr>
        <w:pStyle w:val="SingleTxtGR"/>
        <w:rPr>
          <w:lang w:val="uk-UA"/>
        </w:rPr>
      </w:pPr>
      <w:r w:rsidRPr="004F7E42">
        <w:rPr>
          <w:lang w:val="uk-UA"/>
        </w:rPr>
        <w:lastRenderedPageBreak/>
        <w:tab/>
        <w:t>d)</w:t>
      </w:r>
      <w:r w:rsidRPr="004F7E42">
        <w:rPr>
          <w:lang w:val="uk-UA"/>
        </w:rPr>
        <w:tab/>
      </w:r>
      <w:r w:rsidR="004F7E42">
        <w:rPr>
          <w:lang w:val="uk-UA"/>
        </w:rPr>
        <w:t>прозорі бюджетні зобов’язання для забезпечення того, щоб інтереси підлітків належним чином враховувалися при розподілі витрат на однаково пріоритетні статті, а також дотримання принципів достатності, дієвості, ефективності та рівності</w:t>
      </w:r>
      <w:r w:rsidRPr="004F7E42">
        <w:rPr>
          <w:lang w:val="uk-UA"/>
        </w:rPr>
        <w:t>;</w:t>
      </w:r>
    </w:p>
    <w:p w:rsidR="00A007F8" w:rsidRPr="004F7E42" w:rsidRDefault="00A007F8" w:rsidP="00A007F8">
      <w:pPr>
        <w:pStyle w:val="SingleTxtGR"/>
        <w:rPr>
          <w:lang w:val="uk-UA"/>
        </w:rPr>
      </w:pPr>
      <w:r w:rsidRPr="004F7E42">
        <w:rPr>
          <w:lang w:val="uk-UA"/>
        </w:rPr>
        <w:tab/>
        <w:t>е)</w:t>
      </w:r>
      <w:r w:rsidRPr="004F7E42">
        <w:rPr>
          <w:lang w:val="uk-UA"/>
        </w:rPr>
        <w:tab/>
      </w:r>
      <w:r w:rsidR="00B93EE0">
        <w:rPr>
          <w:lang w:val="uk-UA"/>
        </w:rPr>
        <w:t xml:space="preserve">навчання </w:t>
      </w:r>
      <w:r w:rsidR="00B93EE0" w:rsidRPr="00B93EE0">
        <w:rPr>
          <w:lang w:val="uk-UA"/>
        </w:rPr>
        <w:t xml:space="preserve">всіх фахівців, </w:t>
      </w:r>
      <w:r w:rsidR="00B93EE0">
        <w:rPr>
          <w:lang w:val="uk-UA"/>
        </w:rPr>
        <w:t xml:space="preserve">які </w:t>
      </w:r>
      <w:r w:rsidR="00B93EE0" w:rsidRPr="00B93EE0">
        <w:rPr>
          <w:lang w:val="uk-UA"/>
        </w:rPr>
        <w:t xml:space="preserve">працюють з підлітками </w:t>
      </w:r>
      <w:r w:rsidR="00B93EE0">
        <w:rPr>
          <w:lang w:val="uk-UA"/>
        </w:rPr>
        <w:t>та у їхніх інтересах з питань Конвенції та пов'язаних з нею зобов’</w:t>
      </w:r>
      <w:r w:rsidR="00B93EE0" w:rsidRPr="00B93EE0">
        <w:rPr>
          <w:lang w:val="uk-UA"/>
        </w:rPr>
        <w:t>язань</w:t>
      </w:r>
      <w:r w:rsidR="00B93EE0">
        <w:rPr>
          <w:lang w:val="uk-UA"/>
        </w:rPr>
        <w:t>,</w:t>
      </w:r>
      <w:r w:rsidR="00B93EE0" w:rsidRPr="00B93EE0">
        <w:rPr>
          <w:lang w:val="uk-UA"/>
        </w:rPr>
        <w:t xml:space="preserve"> з поглибленим вивченням </w:t>
      </w:r>
      <w:r w:rsidR="00B93EE0">
        <w:rPr>
          <w:lang w:val="uk-UA"/>
        </w:rPr>
        <w:t>компетенцій</w:t>
      </w:r>
      <w:r w:rsidR="00B93EE0" w:rsidRPr="00B93EE0">
        <w:rPr>
          <w:lang w:val="uk-UA"/>
        </w:rPr>
        <w:t xml:space="preserve">, необхідних для роботи з підлітками </w:t>
      </w:r>
      <w:r w:rsidR="00B93EE0">
        <w:rPr>
          <w:lang w:val="uk-UA"/>
        </w:rPr>
        <w:t>відповідно до їхніх здібностей, що розвиваються</w:t>
      </w:r>
      <w:r w:rsidRPr="004F7E42">
        <w:rPr>
          <w:lang w:val="uk-UA"/>
        </w:rPr>
        <w:t>;</w:t>
      </w:r>
    </w:p>
    <w:p w:rsidR="00A007F8" w:rsidRPr="004F7E42" w:rsidRDefault="00A007F8" w:rsidP="00A007F8">
      <w:pPr>
        <w:pStyle w:val="SingleTxtGR"/>
        <w:rPr>
          <w:lang w:val="uk-UA"/>
        </w:rPr>
      </w:pPr>
      <w:r w:rsidRPr="004F7E42">
        <w:rPr>
          <w:lang w:val="uk-UA"/>
        </w:rPr>
        <w:tab/>
        <w:t>f)</w:t>
      </w:r>
      <w:r w:rsidRPr="004F7E42">
        <w:rPr>
          <w:lang w:val="uk-UA"/>
        </w:rPr>
        <w:tab/>
      </w:r>
      <w:r w:rsidR="00B93EE0" w:rsidRPr="00B93EE0">
        <w:rPr>
          <w:lang w:val="uk-UA"/>
        </w:rPr>
        <w:t xml:space="preserve">поширення доступної інформації про права дітей і </w:t>
      </w:r>
      <w:r w:rsidR="00B93EE0">
        <w:rPr>
          <w:lang w:val="uk-UA"/>
        </w:rPr>
        <w:t xml:space="preserve">шляхи </w:t>
      </w:r>
      <w:r w:rsidR="00B93EE0" w:rsidRPr="00B93EE0">
        <w:rPr>
          <w:lang w:val="uk-UA"/>
        </w:rPr>
        <w:t>їх здійснення</w:t>
      </w:r>
      <w:r w:rsidR="00B93EE0">
        <w:rPr>
          <w:lang w:val="uk-UA"/>
        </w:rPr>
        <w:t xml:space="preserve">, зокрема, </w:t>
      </w:r>
      <w:r w:rsidR="00B93EE0" w:rsidRPr="00B93EE0">
        <w:rPr>
          <w:lang w:val="uk-UA"/>
        </w:rPr>
        <w:t>за допомогою</w:t>
      </w:r>
      <w:r w:rsidR="00B93EE0">
        <w:rPr>
          <w:lang w:val="uk-UA"/>
        </w:rPr>
        <w:t xml:space="preserve"> </w:t>
      </w:r>
      <w:r w:rsidR="00B93EE0" w:rsidRPr="00B93EE0">
        <w:rPr>
          <w:lang w:val="uk-UA"/>
        </w:rPr>
        <w:t xml:space="preserve">шкільних навчальних програм, </w:t>
      </w:r>
      <w:r w:rsidR="00B93EE0">
        <w:rPr>
          <w:lang w:val="uk-UA"/>
        </w:rPr>
        <w:t xml:space="preserve">ЗМІ, (включаючи електронні медіа), та інформаційні </w:t>
      </w:r>
      <w:r w:rsidR="00B93EE0" w:rsidRPr="00B93EE0">
        <w:rPr>
          <w:lang w:val="uk-UA"/>
        </w:rPr>
        <w:t>матеріали для громадськості,</w:t>
      </w:r>
      <w:r w:rsidR="00B93EE0">
        <w:rPr>
          <w:lang w:val="uk-UA"/>
        </w:rPr>
        <w:t xml:space="preserve"> причому особливі зусилля мають спрямовуватися на </w:t>
      </w:r>
      <w:r w:rsidR="00B93EE0" w:rsidRPr="00B93EE0">
        <w:rPr>
          <w:lang w:val="uk-UA"/>
        </w:rPr>
        <w:t xml:space="preserve">охоплення </w:t>
      </w:r>
      <w:r w:rsidR="00B93EE0">
        <w:rPr>
          <w:lang w:val="uk-UA"/>
        </w:rPr>
        <w:t xml:space="preserve">маргіналізованих </w:t>
      </w:r>
      <w:r w:rsidR="00B93EE0" w:rsidRPr="00B93EE0">
        <w:rPr>
          <w:lang w:val="uk-UA"/>
        </w:rPr>
        <w:t>підлітків</w:t>
      </w:r>
      <w:r w:rsidRPr="004F7E42">
        <w:rPr>
          <w:lang w:val="uk-UA"/>
        </w:rPr>
        <w:t>.</w:t>
      </w:r>
    </w:p>
    <w:p w:rsidR="00A007F8" w:rsidRPr="004F7E42" w:rsidRDefault="00B93EE0" w:rsidP="0067613A">
      <w:pPr>
        <w:pStyle w:val="HChGR"/>
        <w:rPr>
          <w:lang w:val="uk-UA"/>
        </w:rPr>
      </w:pPr>
      <w:r>
        <w:rPr>
          <w:lang w:val="uk-UA"/>
        </w:rPr>
        <w:tab/>
        <w:t>VII.</w:t>
      </w:r>
      <w:r>
        <w:rPr>
          <w:lang w:val="uk-UA"/>
        </w:rPr>
        <w:tab/>
        <w:t>Визначення поняття «дитина»</w:t>
      </w:r>
      <w:bookmarkStart w:id="10" w:name="_Toc468797242"/>
      <w:bookmarkEnd w:id="10"/>
    </w:p>
    <w:p w:rsidR="00A007F8" w:rsidRPr="004F7E42" w:rsidRDefault="00A007F8" w:rsidP="00A007F8">
      <w:pPr>
        <w:pStyle w:val="SingleTxtGR"/>
        <w:rPr>
          <w:lang w:val="uk-UA"/>
        </w:rPr>
      </w:pPr>
      <w:r w:rsidRPr="004F7E42">
        <w:rPr>
          <w:lang w:val="uk-UA"/>
        </w:rPr>
        <w:t>38.</w:t>
      </w:r>
      <w:r w:rsidRPr="004F7E42">
        <w:rPr>
          <w:lang w:val="uk-UA"/>
        </w:rPr>
        <w:tab/>
      </w:r>
      <w:r w:rsidR="00B93EE0" w:rsidRPr="004F7E42">
        <w:rPr>
          <w:lang w:val="uk-UA"/>
        </w:rPr>
        <w:t>Конвенція</w:t>
      </w:r>
      <w:r w:rsidRPr="004F7E42">
        <w:rPr>
          <w:lang w:val="uk-UA"/>
        </w:rPr>
        <w:t xml:space="preserve"> </w:t>
      </w:r>
      <w:r w:rsidR="00B93EE0">
        <w:rPr>
          <w:lang w:val="uk-UA"/>
        </w:rPr>
        <w:t>забороняє будь-яку дискримінацію за ознакою статі, а вікові обмеження мають бути однаковими для дівчат та хлопців</w:t>
      </w:r>
      <w:r w:rsidRPr="004F7E42">
        <w:rPr>
          <w:lang w:val="uk-UA"/>
        </w:rPr>
        <w:t>.</w:t>
      </w:r>
    </w:p>
    <w:p w:rsidR="00A007F8" w:rsidRPr="004F7E42" w:rsidRDefault="00A007F8" w:rsidP="00A007F8">
      <w:pPr>
        <w:pStyle w:val="SingleTxtGR"/>
        <w:rPr>
          <w:lang w:val="uk-UA"/>
        </w:rPr>
      </w:pPr>
      <w:r w:rsidRPr="004F7E42">
        <w:rPr>
          <w:lang w:val="uk-UA"/>
        </w:rPr>
        <w:t>39.</w:t>
      </w:r>
      <w:r w:rsidRPr="004F7E42">
        <w:rPr>
          <w:lang w:val="uk-UA"/>
        </w:rPr>
        <w:tab/>
      </w:r>
      <w:r w:rsidR="00246CF6" w:rsidRPr="00246CF6">
        <w:rPr>
          <w:lang w:val="uk-UA"/>
        </w:rPr>
        <w:t>Держав</w:t>
      </w:r>
      <w:r w:rsidR="00246CF6">
        <w:rPr>
          <w:lang w:val="uk-UA"/>
        </w:rPr>
        <w:t xml:space="preserve">ам необхідно </w:t>
      </w:r>
      <w:r w:rsidR="00246CF6" w:rsidRPr="00246CF6">
        <w:rPr>
          <w:lang w:val="uk-UA"/>
        </w:rPr>
        <w:t xml:space="preserve">переглянути або </w:t>
      </w:r>
      <w:r w:rsidR="00246CF6">
        <w:rPr>
          <w:lang w:val="uk-UA"/>
        </w:rPr>
        <w:t xml:space="preserve">ухвалити </w:t>
      </w:r>
      <w:r w:rsidR="00246CF6" w:rsidRPr="00246CF6">
        <w:rPr>
          <w:lang w:val="uk-UA"/>
        </w:rPr>
        <w:t xml:space="preserve">законодавство, </w:t>
      </w:r>
      <w:r w:rsidR="00246CF6">
        <w:rPr>
          <w:lang w:val="uk-UA"/>
        </w:rPr>
        <w:t xml:space="preserve">що </w:t>
      </w:r>
      <w:r w:rsidR="00246CF6" w:rsidRPr="00246CF6">
        <w:rPr>
          <w:lang w:val="uk-UA"/>
        </w:rPr>
        <w:t>визнає право підлітків брати на себе більшу відповідальність за рішен</w:t>
      </w:r>
      <w:r w:rsidR="00246CF6">
        <w:rPr>
          <w:lang w:val="uk-UA"/>
        </w:rPr>
        <w:t>ня</w:t>
      </w:r>
      <w:r w:rsidR="00246CF6" w:rsidRPr="00246CF6">
        <w:rPr>
          <w:lang w:val="uk-UA"/>
        </w:rPr>
        <w:t xml:space="preserve">, </w:t>
      </w:r>
      <w:r w:rsidR="00246CF6">
        <w:rPr>
          <w:lang w:val="uk-UA"/>
        </w:rPr>
        <w:t xml:space="preserve">що впливають на їхні </w:t>
      </w:r>
      <w:r w:rsidR="00246CF6" w:rsidRPr="00246CF6">
        <w:rPr>
          <w:lang w:val="uk-UA"/>
        </w:rPr>
        <w:t>життя. Комітет рекомендує державам запровад</w:t>
      </w:r>
      <w:r w:rsidR="00246CF6">
        <w:rPr>
          <w:lang w:val="uk-UA"/>
        </w:rPr>
        <w:t xml:space="preserve">ити </w:t>
      </w:r>
      <w:r w:rsidR="00246CF6" w:rsidRPr="00246CF6">
        <w:rPr>
          <w:lang w:val="uk-UA"/>
        </w:rPr>
        <w:t>мінімальні законні вікові обмеження відповідно до права на захист, принцип</w:t>
      </w:r>
      <w:r w:rsidR="00246CF6">
        <w:rPr>
          <w:lang w:val="uk-UA"/>
        </w:rPr>
        <w:t xml:space="preserve">у </w:t>
      </w:r>
      <w:r w:rsidR="00246CF6" w:rsidRPr="00246CF6">
        <w:rPr>
          <w:lang w:val="uk-UA"/>
        </w:rPr>
        <w:t xml:space="preserve">забезпечення </w:t>
      </w:r>
      <w:r w:rsidR="00246CF6">
        <w:rPr>
          <w:lang w:val="uk-UA"/>
        </w:rPr>
        <w:t xml:space="preserve">найкращих </w:t>
      </w:r>
      <w:r w:rsidR="00246CF6" w:rsidRPr="00246CF6">
        <w:rPr>
          <w:lang w:val="uk-UA"/>
        </w:rPr>
        <w:t>інтересів і поваг</w:t>
      </w:r>
      <w:r w:rsidR="00246CF6">
        <w:rPr>
          <w:lang w:val="uk-UA"/>
        </w:rPr>
        <w:t>и до</w:t>
      </w:r>
      <w:r w:rsidR="00246CF6" w:rsidRPr="00246CF6">
        <w:rPr>
          <w:lang w:val="uk-UA"/>
        </w:rPr>
        <w:t xml:space="preserve"> здібностей підлітків</w:t>
      </w:r>
      <w:r w:rsidR="00246CF6">
        <w:rPr>
          <w:lang w:val="uk-UA"/>
        </w:rPr>
        <w:t>, що розвиваються</w:t>
      </w:r>
      <w:r w:rsidR="00246CF6" w:rsidRPr="00246CF6">
        <w:rPr>
          <w:lang w:val="uk-UA"/>
        </w:rPr>
        <w:t>. Наприклад, вікові обмеження повинні визнавати право приймати рішення щодо медичних послуг або лікування, згоди на уси</w:t>
      </w:r>
      <w:r w:rsidR="00246CF6">
        <w:rPr>
          <w:lang w:val="uk-UA"/>
        </w:rPr>
        <w:t xml:space="preserve">новлення, зміни імені або заяв у сімейні </w:t>
      </w:r>
      <w:r w:rsidR="00246CF6" w:rsidRPr="00246CF6">
        <w:rPr>
          <w:lang w:val="uk-UA"/>
        </w:rPr>
        <w:t xml:space="preserve">суди. У всіх випадках </w:t>
      </w:r>
      <w:r w:rsidR="00246CF6">
        <w:rPr>
          <w:lang w:val="uk-UA"/>
        </w:rPr>
        <w:t xml:space="preserve">це право має визнаватися </w:t>
      </w:r>
      <w:r w:rsidR="00246CF6" w:rsidRPr="00246CF6">
        <w:rPr>
          <w:lang w:val="uk-UA"/>
        </w:rPr>
        <w:t>за будь-якою дитиною</w:t>
      </w:r>
      <w:r w:rsidR="00246CF6">
        <w:rPr>
          <w:lang w:val="uk-UA"/>
        </w:rPr>
        <w:t xml:space="preserve">, яка не досягла </w:t>
      </w:r>
      <w:r w:rsidR="00246CF6" w:rsidRPr="00246CF6">
        <w:rPr>
          <w:lang w:val="uk-UA"/>
        </w:rPr>
        <w:t>цього мінімального віку</w:t>
      </w:r>
      <w:r w:rsidR="00246CF6">
        <w:rPr>
          <w:lang w:val="uk-UA"/>
        </w:rPr>
        <w:t xml:space="preserve"> і яка </w:t>
      </w:r>
      <w:r w:rsidR="00246CF6" w:rsidRPr="00246CF6">
        <w:rPr>
          <w:lang w:val="uk-UA"/>
        </w:rPr>
        <w:t>здатн</w:t>
      </w:r>
      <w:r w:rsidR="00246CF6">
        <w:rPr>
          <w:lang w:val="uk-UA"/>
        </w:rPr>
        <w:t xml:space="preserve">а </w:t>
      </w:r>
      <w:r w:rsidR="00246CF6" w:rsidRPr="00246CF6">
        <w:rPr>
          <w:lang w:val="uk-UA"/>
        </w:rPr>
        <w:t xml:space="preserve">продемонструвати достатнє розуміння </w:t>
      </w:r>
      <w:r w:rsidR="00246CF6">
        <w:rPr>
          <w:lang w:val="uk-UA"/>
        </w:rPr>
        <w:t>суті речей, щоб давати чи відмовлятися давати згоду</w:t>
      </w:r>
      <w:r w:rsidR="00246CF6" w:rsidRPr="00246CF6">
        <w:rPr>
          <w:lang w:val="uk-UA"/>
        </w:rPr>
        <w:t xml:space="preserve">. </w:t>
      </w:r>
      <w:r w:rsidR="00246CF6">
        <w:rPr>
          <w:lang w:val="uk-UA"/>
        </w:rPr>
        <w:t>Безвідносно вимоги щодо отримання згоди батьків чи опікунів на певну медичну процедуру або лікування, така добровільна і поінформована згода має бути отримана від підлітка</w:t>
      </w:r>
      <w:r w:rsidR="00246CF6" w:rsidRPr="00246CF6">
        <w:rPr>
          <w:lang w:val="uk-UA"/>
        </w:rPr>
        <w:t>. Слід також розглянути питання введення правової презумпції, на підставі якої підлітки мають право вимагати і о</w:t>
      </w:r>
      <w:r w:rsidR="00246CF6">
        <w:rPr>
          <w:lang w:val="uk-UA"/>
        </w:rPr>
        <w:t xml:space="preserve">тримувати </w:t>
      </w:r>
      <w:r w:rsidR="00246CF6" w:rsidRPr="00246CF6">
        <w:rPr>
          <w:lang w:val="uk-UA"/>
        </w:rPr>
        <w:t>доступ до профілактичних або невідкладни</w:t>
      </w:r>
      <w:r w:rsidR="00246CF6">
        <w:rPr>
          <w:lang w:val="uk-UA"/>
        </w:rPr>
        <w:t>х послуг і товарів</w:t>
      </w:r>
      <w:r w:rsidR="00246CF6" w:rsidRPr="00246CF6">
        <w:rPr>
          <w:lang w:val="uk-UA"/>
        </w:rPr>
        <w:t>, що стосуються сексуал</w:t>
      </w:r>
      <w:r w:rsidR="00246CF6">
        <w:rPr>
          <w:lang w:val="uk-UA"/>
        </w:rPr>
        <w:t>ьного та репродуктивного здоров’</w:t>
      </w:r>
      <w:r w:rsidR="00246CF6" w:rsidRPr="00246CF6">
        <w:rPr>
          <w:lang w:val="uk-UA"/>
        </w:rPr>
        <w:t xml:space="preserve">я. Комітет </w:t>
      </w:r>
      <w:r w:rsidR="00246CF6">
        <w:rPr>
          <w:lang w:val="uk-UA"/>
        </w:rPr>
        <w:t>наголошує</w:t>
      </w:r>
      <w:r w:rsidR="00246CF6" w:rsidRPr="00246CF6">
        <w:rPr>
          <w:lang w:val="uk-UA"/>
        </w:rPr>
        <w:t>, що всі підлітки</w:t>
      </w:r>
      <w:r w:rsidR="00246CF6">
        <w:rPr>
          <w:lang w:val="uk-UA"/>
        </w:rPr>
        <w:t xml:space="preserve"> за власним бажанням</w:t>
      </w:r>
      <w:r w:rsidR="00246CF6" w:rsidRPr="00246CF6">
        <w:rPr>
          <w:lang w:val="uk-UA"/>
        </w:rPr>
        <w:t>, незалежно від віку, мають право</w:t>
      </w:r>
      <w:r w:rsidR="00246CF6">
        <w:rPr>
          <w:lang w:val="uk-UA"/>
        </w:rPr>
        <w:t xml:space="preserve"> звертатися за конфіденційними медичними консультаціями </w:t>
      </w:r>
      <w:r w:rsidR="00246CF6" w:rsidRPr="00246CF6">
        <w:rPr>
          <w:lang w:val="uk-UA"/>
        </w:rPr>
        <w:t xml:space="preserve">без згоди батьків </w:t>
      </w:r>
      <w:r w:rsidR="00246CF6">
        <w:rPr>
          <w:lang w:val="uk-UA"/>
        </w:rPr>
        <w:t xml:space="preserve">чи </w:t>
      </w:r>
      <w:r w:rsidR="00246CF6" w:rsidRPr="00246CF6">
        <w:rPr>
          <w:lang w:val="uk-UA"/>
        </w:rPr>
        <w:t xml:space="preserve">опікунів. Це право відрізняється від права давати згоду на </w:t>
      </w:r>
      <w:r w:rsidR="00246CF6">
        <w:rPr>
          <w:lang w:val="uk-UA"/>
        </w:rPr>
        <w:t>ті чи інші медичні втручання</w:t>
      </w:r>
      <w:r w:rsidR="00246CF6" w:rsidRPr="00246CF6">
        <w:rPr>
          <w:lang w:val="uk-UA"/>
        </w:rPr>
        <w:t xml:space="preserve">, і тому відносно нього не </w:t>
      </w:r>
      <w:r w:rsidR="00246CF6">
        <w:rPr>
          <w:lang w:val="uk-UA"/>
        </w:rPr>
        <w:t xml:space="preserve">мають встановлюватися </w:t>
      </w:r>
      <w:r w:rsidR="00246CF6" w:rsidRPr="00246CF6">
        <w:rPr>
          <w:lang w:val="uk-UA"/>
        </w:rPr>
        <w:t>будь-як</w:t>
      </w:r>
      <w:r w:rsidR="00246CF6">
        <w:rPr>
          <w:lang w:val="uk-UA"/>
        </w:rPr>
        <w:t xml:space="preserve">і вікові </w:t>
      </w:r>
      <w:r w:rsidR="00246CF6" w:rsidRPr="00246CF6">
        <w:rPr>
          <w:lang w:val="uk-UA"/>
        </w:rPr>
        <w:t>обмежен</w:t>
      </w:r>
      <w:r w:rsidR="00246CF6">
        <w:rPr>
          <w:lang w:val="uk-UA"/>
        </w:rPr>
        <w:t>ня</w:t>
      </w:r>
      <w:r w:rsidRPr="004F7E42">
        <w:rPr>
          <w:sz w:val="18"/>
          <w:vertAlign w:val="superscript"/>
          <w:lang w:val="uk-UA"/>
        </w:rPr>
        <w:footnoteReference w:id="18"/>
      </w:r>
      <w:r w:rsidRPr="004F7E42">
        <w:rPr>
          <w:lang w:val="uk-UA"/>
        </w:rPr>
        <w:t>.</w:t>
      </w:r>
    </w:p>
    <w:p w:rsidR="00923B7D" w:rsidRDefault="00A007F8" w:rsidP="00A007F8">
      <w:pPr>
        <w:pStyle w:val="SingleTxtGR"/>
        <w:rPr>
          <w:lang w:val="uk-UA"/>
        </w:rPr>
      </w:pPr>
      <w:r w:rsidRPr="00923B7D">
        <w:rPr>
          <w:lang w:val="uk-UA"/>
        </w:rPr>
        <w:t>40.</w:t>
      </w:r>
      <w:r w:rsidRPr="00923B7D">
        <w:rPr>
          <w:lang w:val="uk-UA"/>
        </w:rPr>
        <w:tab/>
      </w:r>
      <w:r w:rsidR="00923B7D" w:rsidRPr="00923B7D">
        <w:rPr>
          <w:lang w:val="uk-UA"/>
        </w:rPr>
        <w:t>Комітет нагад</w:t>
      </w:r>
      <w:r w:rsidR="00923B7D">
        <w:rPr>
          <w:lang w:val="uk-UA"/>
        </w:rPr>
        <w:t>ує державам-учасницям про зобов’</w:t>
      </w:r>
      <w:r w:rsidR="00923B7D" w:rsidRPr="00923B7D">
        <w:rPr>
          <w:lang w:val="uk-UA"/>
        </w:rPr>
        <w:t>язання визна</w:t>
      </w:r>
      <w:r w:rsidR="00923B7D">
        <w:rPr>
          <w:lang w:val="uk-UA"/>
        </w:rPr>
        <w:t xml:space="preserve">ння права усіх осіб </w:t>
      </w:r>
      <w:r w:rsidR="00923B7D" w:rsidRPr="00923B7D">
        <w:rPr>
          <w:lang w:val="uk-UA"/>
        </w:rPr>
        <w:t>молодше 18 років на постійн</w:t>
      </w:r>
      <w:r w:rsidR="00923B7D">
        <w:rPr>
          <w:lang w:val="uk-UA"/>
        </w:rPr>
        <w:t>ий захист</w:t>
      </w:r>
      <w:r w:rsidR="00923B7D" w:rsidRPr="00923B7D">
        <w:rPr>
          <w:lang w:val="uk-UA"/>
        </w:rPr>
        <w:t xml:space="preserve"> від усіх форм експлуатації та жорстокого поводження. </w:t>
      </w:r>
      <w:r w:rsidR="00923B7D">
        <w:rPr>
          <w:lang w:val="uk-UA"/>
        </w:rPr>
        <w:t xml:space="preserve">Комітет </w:t>
      </w:r>
      <w:r w:rsidR="00923B7D" w:rsidRPr="00923B7D">
        <w:rPr>
          <w:lang w:val="uk-UA"/>
        </w:rPr>
        <w:t>підтверджує, що мінімальний вік для вступу в шлюб, вербування в ряди збройних си</w:t>
      </w:r>
      <w:r w:rsidR="00923B7D">
        <w:rPr>
          <w:lang w:val="uk-UA"/>
        </w:rPr>
        <w:t xml:space="preserve">л, виконання небезпечних чи пов’язаних з експлуатацією робіт, а також </w:t>
      </w:r>
      <w:r w:rsidR="00923B7D" w:rsidRPr="00923B7D">
        <w:rPr>
          <w:lang w:val="uk-UA"/>
        </w:rPr>
        <w:t xml:space="preserve">придбання і </w:t>
      </w:r>
      <w:r w:rsidR="00923B7D">
        <w:rPr>
          <w:lang w:val="uk-UA"/>
        </w:rPr>
        <w:t xml:space="preserve">вживання </w:t>
      </w:r>
      <w:r w:rsidR="00923B7D" w:rsidRPr="00923B7D">
        <w:rPr>
          <w:lang w:val="uk-UA"/>
        </w:rPr>
        <w:t>алкоголю і тютюну</w:t>
      </w:r>
      <w:r w:rsidR="00923B7D">
        <w:rPr>
          <w:lang w:val="uk-UA"/>
        </w:rPr>
        <w:t xml:space="preserve"> має становити 18 років</w:t>
      </w:r>
      <w:r w:rsidR="00923B7D" w:rsidRPr="00923B7D">
        <w:rPr>
          <w:lang w:val="uk-UA"/>
        </w:rPr>
        <w:t xml:space="preserve">, </w:t>
      </w:r>
      <w:r w:rsidR="00923B7D">
        <w:rPr>
          <w:lang w:val="uk-UA"/>
        </w:rPr>
        <w:t>зважаючи на ступінь пов’</w:t>
      </w:r>
      <w:r w:rsidR="00923B7D" w:rsidRPr="00923B7D">
        <w:rPr>
          <w:lang w:val="uk-UA"/>
        </w:rPr>
        <w:t>язаних з цим ризиків і шкоди. Держави-учасни</w:t>
      </w:r>
      <w:r w:rsidR="00923B7D">
        <w:rPr>
          <w:lang w:val="uk-UA"/>
        </w:rPr>
        <w:t>ці</w:t>
      </w:r>
      <w:r w:rsidR="00923B7D" w:rsidRPr="00923B7D">
        <w:rPr>
          <w:lang w:val="uk-UA"/>
        </w:rPr>
        <w:t xml:space="preserve"> повинні враховувати необхідність забезпечення балансу між захистом і здібностям</w:t>
      </w:r>
      <w:r w:rsidR="00923B7D">
        <w:rPr>
          <w:lang w:val="uk-UA"/>
        </w:rPr>
        <w:t>, що розвиваються,</w:t>
      </w:r>
      <w:r w:rsidR="00923B7D" w:rsidRPr="00923B7D">
        <w:rPr>
          <w:lang w:val="uk-UA"/>
        </w:rPr>
        <w:t xml:space="preserve"> </w:t>
      </w:r>
      <w:r w:rsidR="00923B7D">
        <w:rPr>
          <w:lang w:val="uk-UA"/>
        </w:rPr>
        <w:t xml:space="preserve">та </w:t>
      </w:r>
      <w:r w:rsidR="00923B7D" w:rsidRPr="00923B7D">
        <w:rPr>
          <w:lang w:val="uk-UA"/>
        </w:rPr>
        <w:t xml:space="preserve">визначити прийнятний мінімальний вік статевого повноліття, встановлений законом. Держави повинні уникати </w:t>
      </w:r>
      <w:r w:rsidR="00923B7D" w:rsidRPr="00923B7D">
        <w:rPr>
          <w:lang w:val="uk-UA"/>
        </w:rPr>
        <w:lastRenderedPageBreak/>
        <w:t xml:space="preserve">криміналізації підлітків </w:t>
      </w:r>
      <w:r w:rsidR="00923B7D">
        <w:rPr>
          <w:lang w:val="uk-UA"/>
        </w:rPr>
        <w:t xml:space="preserve">приблизно однакового </w:t>
      </w:r>
      <w:r w:rsidR="00923B7D" w:rsidRPr="00923B7D">
        <w:rPr>
          <w:lang w:val="uk-UA"/>
        </w:rPr>
        <w:t xml:space="preserve">віку за фактично не </w:t>
      </w:r>
      <w:r w:rsidR="00923B7D">
        <w:rPr>
          <w:lang w:val="uk-UA"/>
        </w:rPr>
        <w:t>по</w:t>
      </w:r>
      <w:r w:rsidR="0078373B">
        <w:rPr>
          <w:lang w:val="uk-UA"/>
        </w:rPr>
        <w:t>в’</w:t>
      </w:r>
      <w:r w:rsidR="00923B7D" w:rsidRPr="00923B7D">
        <w:rPr>
          <w:lang w:val="uk-UA"/>
        </w:rPr>
        <w:t xml:space="preserve">язані з експлуатацією статеві </w:t>
      </w:r>
      <w:r w:rsidR="00923B7D">
        <w:rPr>
          <w:lang w:val="uk-UA"/>
        </w:rPr>
        <w:t xml:space="preserve">контакти </w:t>
      </w:r>
      <w:r w:rsidR="00923B7D" w:rsidRPr="00923B7D">
        <w:rPr>
          <w:lang w:val="uk-UA"/>
        </w:rPr>
        <w:t>за взаємною згодою</w:t>
      </w:r>
      <w:r w:rsidR="00923B7D">
        <w:rPr>
          <w:lang w:val="uk-UA"/>
        </w:rPr>
        <w:t xml:space="preserve">.  </w:t>
      </w:r>
    </w:p>
    <w:p w:rsidR="00A007F8" w:rsidRPr="00923B7D" w:rsidRDefault="00A007F8" w:rsidP="0067613A">
      <w:pPr>
        <w:pStyle w:val="HChGR"/>
        <w:rPr>
          <w:lang w:val="uk-UA"/>
        </w:rPr>
      </w:pPr>
      <w:r w:rsidRPr="00923B7D">
        <w:rPr>
          <w:lang w:val="uk-UA"/>
        </w:rPr>
        <w:tab/>
        <w:t>VIII.</w:t>
      </w:r>
      <w:r w:rsidRPr="00923B7D">
        <w:rPr>
          <w:lang w:val="uk-UA"/>
        </w:rPr>
        <w:tab/>
        <w:t>Гр</w:t>
      </w:r>
      <w:r w:rsidR="0078373B">
        <w:rPr>
          <w:lang w:val="uk-UA"/>
        </w:rPr>
        <w:t>омадянські права та свободи</w:t>
      </w:r>
      <w:bookmarkStart w:id="11" w:name="_Toc468797243"/>
      <w:bookmarkEnd w:id="11"/>
    </w:p>
    <w:p w:rsidR="00A007F8" w:rsidRPr="00923B7D" w:rsidRDefault="0078373B" w:rsidP="0067613A">
      <w:pPr>
        <w:pStyle w:val="H23G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Реєстрація народження</w:t>
      </w:r>
    </w:p>
    <w:p w:rsidR="0078373B" w:rsidRDefault="00A007F8" w:rsidP="00A007F8">
      <w:pPr>
        <w:pStyle w:val="SingleTxtGR"/>
        <w:rPr>
          <w:lang w:val="uk-UA"/>
        </w:rPr>
      </w:pPr>
      <w:r w:rsidRPr="00923B7D">
        <w:rPr>
          <w:lang w:val="uk-UA"/>
        </w:rPr>
        <w:t>41.</w:t>
      </w:r>
      <w:r w:rsidRPr="00923B7D">
        <w:rPr>
          <w:lang w:val="uk-UA"/>
        </w:rPr>
        <w:tab/>
      </w:r>
      <w:r w:rsidR="0078373B" w:rsidRPr="0078373B">
        <w:rPr>
          <w:lang w:val="uk-UA"/>
        </w:rPr>
        <w:t xml:space="preserve">Відсутність реєстрації народження може </w:t>
      </w:r>
      <w:r w:rsidR="0078373B">
        <w:rPr>
          <w:lang w:val="uk-UA"/>
        </w:rPr>
        <w:t xml:space="preserve">викликати </w:t>
      </w:r>
      <w:r w:rsidR="0078373B" w:rsidRPr="0078373B">
        <w:rPr>
          <w:lang w:val="uk-UA"/>
        </w:rPr>
        <w:t xml:space="preserve">істотні додаткові </w:t>
      </w:r>
      <w:r w:rsidR="0078373B">
        <w:rPr>
          <w:lang w:val="uk-UA"/>
        </w:rPr>
        <w:t xml:space="preserve">ускладнення </w:t>
      </w:r>
      <w:r w:rsidR="0078373B" w:rsidRPr="0078373B">
        <w:rPr>
          <w:lang w:val="uk-UA"/>
        </w:rPr>
        <w:t xml:space="preserve">в підлітковому віці, такі як відмова в наданні </w:t>
      </w:r>
      <w:r w:rsidR="0078373B">
        <w:rPr>
          <w:lang w:val="uk-UA"/>
        </w:rPr>
        <w:t xml:space="preserve">базових </w:t>
      </w:r>
      <w:r w:rsidR="0078373B" w:rsidRPr="0078373B">
        <w:rPr>
          <w:lang w:val="uk-UA"/>
        </w:rPr>
        <w:t xml:space="preserve">послуг, нездатність довести </w:t>
      </w:r>
      <w:r w:rsidR="0078373B">
        <w:rPr>
          <w:lang w:val="uk-UA"/>
        </w:rPr>
        <w:t xml:space="preserve">національність </w:t>
      </w:r>
      <w:r w:rsidR="0078373B" w:rsidRPr="0078373B">
        <w:rPr>
          <w:lang w:val="uk-UA"/>
        </w:rPr>
        <w:t>або отримати документ, що засвідчує особу,</w:t>
      </w:r>
      <w:r w:rsidR="0078373B">
        <w:rPr>
          <w:lang w:val="uk-UA"/>
        </w:rPr>
        <w:t xml:space="preserve"> підвищений ризик опинитися в ситуаціях </w:t>
      </w:r>
      <w:r w:rsidR="0078373B" w:rsidRPr="0078373B">
        <w:rPr>
          <w:lang w:val="uk-UA"/>
        </w:rPr>
        <w:t xml:space="preserve">експлуатації </w:t>
      </w:r>
      <w:r w:rsidR="0078373B">
        <w:rPr>
          <w:lang w:val="uk-UA"/>
        </w:rPr>
        <w:t>чи торгівлі людьми</w:t>
      </w:r>
      <w:r w:rsidR="0078373B" w:rsidRPr="0078373B">
        <w:rPr>
          <w:lang w:val="uk-UA"/>
        </w:rPr>
        <w:t>, відсутність необхідних гарантій в системі кримінального правосуддя і імміграційної системі</w:t>
      </w:r>
      <w:r w:rsidR="0078373B">
        <w:rPr>
          <w:lang w:val="uk-UA"/>
        </w:rPr>
        <w:t xml:space="preserve">, а також призов </w:t>
      </w:r>
      <w:r w:rsidR="0078373B" w:rsidRPr="0078373B">
        <w:rPr>
          <w:lang w:val="uk-UA"/>
        </w:rPr>
        <w:t>неповнолітніх до лав збройних сил. Підліткам, які не були зареєстровані при народженні або відразу ж після цього</w:t>
      </w:r>
      <w:r w:rsidR="002B4F97">
        <w:rPr>
          <w:lang w:val="uk-UA"/>
        </w:rPr>
        <w:t>, має бути безкоштовно оформлене</w:t>
      </w:r>
      <w:r w:rsidR="0078373B" w:rsidRPr="0078373B">
        <w:rPr>
          <w:lang w:val="uk-UA"/>
        </w:rPr>
        <w:t xml:space="preserve"> </w:t>
      </w:r>
      <w:r w:rsidR="002B4F97">
        <w:rPr>
          <w:lang w:val="uk-UA"/>
        </w:rPr>
        <w:t xml:space="preserve">із </w:t>
      </w:r>
      <w:r w:rsidR="0078373B" w:rsidRPr="0078373B">
        <w:rPr>
          <w:lang w:val="uk-UA"/>
        </w:rPr>
        <w:t>запізненням свідоцтво про народження і забезпечена можливість реєстрації актів цивільного стану</w:t>
      </w:r>
      <w:r w:rsidR="0078373B">
        <w:rPr>
          <w:lang w:val="uk-UA"/>
        </w:rPr>
        <w:t xml:space="preserve"> </w:t>
      </w:r>
    </w:p>
    <w:p w:rsidR="00A007F8" w:rsidRPr="00923B7D" w:rsidRDefault="00A007F8" w:rsidP="0067613A">
      <w:pPr>
        <w:pStyle w:val="H23GR"/>
        <w:rPr>
          <w:lang w:val="uk-UA"/>
        </w:rPr>
      </w:pPr>
      <w:r w:rsidRPr="00923B7D">
        <w:rPr>
          <w:lang w:val="uk-UA"/>
        </w:rPr>
        <w:tab/>
      </w:r>
      <w:r w:rsidRPr="00923B7D">
        <w:rPr>
          <w:lang w:val="uk-UA"/>
        </w:rPr>
        <w:tab/>
        <w:t xml:space="preserve">Свобода </w:t>
      </w:r>
      <w:r w:rsidR="002B4F97">
        <w:rPr>
          <w:lang w:val="uk-UA"/>
        </w:rPr>
        <w:t>висловлення думок</w:t>
      </w:r>
    </w:p>
    <w:p w:rsidR="00A007F8" w:rsidRPr="00923B7D" w:rsidRDefault="00A007F8" w:rsidP="00A007F8">
      <w:pPr>
        <w:pStyle w:val="SingleTxtGR"/>
        <w:rPr>
          <w:lang w:val="uk-UA"/>
        </w:rPr>
      </w:pPr>
      <w:r w:rsidRPr="00923B7D">
        <w:rPr>
          <w:lang w:val="uk-UA"/>
        </w:rPr>
        <w:t>42.</w:t>
      </w:r>
      <w:r w:rsidRPr="00923B7D">
        <w:rPr>
          <w:lang w:val="uk-UA"/>
        </w:rPr>
        <w:tab/>
      </w:r>
      <w:r w:rsidR="002B4F97">
        <w:rPr>
          <w:lang w:val="uk-UA"/>
        </w:rPr>
        <w:t xml:space="preserve">Стаття </w:t>
      </w:r>
      <w:r w:rsidRPr="00923B7D">
        <w:rPr>
          <w:lang w:val="uk-UA"/>
        </w:rPr>
        <w:t>13 Конвенц</w:t>
      </w:r>
      <w:r w:rsidR="002B4F97">
        <w:rPr>
          <w:lang w:val="uk-UA"/>
        </w:rPr>
        <w:t>ії підтверджує, що дитина має право вільно висловлювати свої думки, і що здійснення цього права може зазнавати лише обмежень, викладених у пункті</w:t>
      </w:r>
      <w:r w:rsidRPr="00923B7D">
        <w:rPr>
          <w:lang w:val="uk-UA"/>
        </w:rPr>
        <w:t xml:space="preserve"> 2 </w:t>
      </w:r>
      <w:r w:rsidR="002B4F97">
        <w:rPr>
          <w:lang w:val="uk-UA"/>
        </w:rPr>
        <w:t xml:space="preserve">Статті </w:t>
      </w:r>
      <w:r w:rsidRPr="00923B7D">
        <w:rPr>
          <w:lang w:val="uk-UA"/>
        </w:rPr>
        <w:t xml:space="preserve">13. </w:t>
      </w:r>
      <w:r w:rsidR="002B4F97">
        <w:rPr>
          <w:lang w:val="uk-UA"/>
        </w:rPr>
        <w:t>У зв’язку з цим обов’язок батьків та</w:t>
      </w:r>
      <w:r w:rsidR="002B4F97" w:rsidRPr="002B4F97">
        <w:rPr>
          <w:lang w:val="uk-UA"/>
        </w:rPr>
        <w:t xml:space="preserve"> опікунів </w:t>
      </w:r>
      <w:r w:rsidR="002B4F97">
        <w:rPr>
          <w:lang w:val="uk-UA"/>
        </w:rPr>
        <w:t>– переконатися, що</w:t>
      </w:r>
      <w:r w:rsidR="002B4F97" w:rsidRPr="002B4F97">
        <w:rPr>
          <w:lang w:val="uk-UA"/>
        </w:rPr>
        <w:t xml:space="preserve"> належне керівництво відповідно до здібностей підлітків</w:t>
      </w:r>
      <w:r w:rsidR="002B4F97">
        <w:rPr>
          <w:lang w:val="uk-UA"/>
        </w:rPr>
        <w:t xml:space="preserve">, що розвиваються, не суперечить </w:t>
      </w:r>
      <w:r w:rsidR="002B4F97" w:rsidRPr="002B4F97">
        <w:rPr>
          <w:lang w:val="uk-UA"/>
        </w:rPr>
        <w:t>праву підлітків на свободу ви</w:t>
      </w:r>
      <w:r w:rsidR="002B4F97">
        <w:rPr>
          <w:lang w:val="uk-UA"/>
        </w:rPr>
        <w:t>словлення</w:t>
      </w:r>
      <w:r w:rsidR="002B4F97" w:rsidRPr="002B4F97">
        <w:rPr>
          <w:lang w:val="uk-UA"/>
        </w:rPr>
        <w:t>. Підлітки мають право шукати, о</w:t>
      </w:r>
      <w:r w:rsidR="002B4F97">
        <w:rPr>
          <w:lang w:val="uk-UA"/>
        </w:rPr>
        <w:t xml:space="preserve">держувати </w:t>
      </w:r>
      <w:r w:rsidR="002B4F97" w:rsidRPr="002B4F97">
        <w:rPr>
          <w:lang w:val="uk-UA"/>
        </w:rPr>
        <w:t>і поширювати інформацію та ідеї</w:t>
      </w:r>
      <w:r w:rsidR="002B4F97">
        <w:rPr>
          <w:lang w:val="uk-UA"/>
        </w:rPr>
        <w:t>,</w:t>
      </w:r>
      <w:r w:rsidR="002B4F97" w:rsidRPr="002B4F97">
        <w:rPr>
          <w:lang w:val="uk-UA"/>
        </w:rPr>
        <w:t xml:space="preserve"> і використовувати </w:t>
      </w:r>
      <w:r w:rsidR="002B4F97">
        <w:rPr>
          <w:lang w:val="uk-UA"/>
        </w:rPr>
        <w:t xml:space="preserve">різні </w:t>
      </w:r>
      <w:r w:rsidR="002B4F97" w:rsidRPr="002B4F97">
        <w:rPr>
          <w:lang w:val="uk-UA"/>
        </w:rPr>
        <w:t xml:space="preserve">способи такого поширення, в тому числі усну і письмову мову, </w:t>
      </w:r>
      <w:r w:rsidR="002B4F97">
        <w:rPr>
          <w:lang w:val="uk-UA"/>
        </w:rPr>
        <w:t xml:space="preserve">жестову </w:t>
      </w:r>
      <w:r w:rsidR="002B4F97" w:rsidRPr="002B4F97">
        <w:rPr>
          <w:lang w:val="uk-UA"/>
        </w:rPr>
        <w:t xml:space="preserve">мову, а також такі засоби невербального вираження, як зображення і </w:t>
      </w:r>
      <w:r w:rsidR="002B4F97">
        <w:rPr>
          <w:lang w:val="uk-UA"/>
        </w:rPr>
        <w:t>твори мистецтва</w:t>
      </w:r>
      <w:r w:rsidR="002B4F97" w:rsidRPr="002B4F97">
        <w:rPr>
          <w:lang w:val="uk-UA"/>
        </w:rPr>
        <w:t xml:space="preserve">. До способів вираження </w:t>
      </w:r>
      <w:r w:rsidR="002B4F97">
        <w:rPr>
          <w:lang w:val="uk-UA"/>
        </w:rPr>
        <w:t xml:space="preserve">належать, </w:t>
      </w:r>
      <w:r w:rsidR="002B4F97" w:rsidRPr="002B4F97">
        <w:rPr>
          <w:lang w:val="uk-UA"/>
        </w:rPr>
        <w:t xml:space="preserve">наприклад, книги, газети, брошури, плакати, </w:t>
      </w:r>
      <w:r w:rsidR="002B4F97">
        <w:rPr>
          <w:lang w:val="uk-UA"/>
        </w:rPr>
        <w:t>банери</w:t>
      </w:r>
      <w:r w:rsidR="002B4F97" w:rsidRPr="002B4F97">
        <w:rPr>
          <w:lang w:val="uk-UA"/>
        </w:rPr>
        <w:t xml:space="preserve">, електронні та аудіовізуальні </w:t>
      </w:r>
      <w:r w:rsidR="002B4F97">
        <w:rPr>
          <w:lang w:val="uk-UA"/>
        </w:rPr>
        <w:t>засоби</w:t>
      </w:r>
      <w:r w:rsidR="002B4F97" w:rsidRPr="002B4F97">
        <w:rPr>
          <w:lang w:val="uk-UA"/>
        </w:rPr>
        <w:t>, а також</w:t>
      </w:r>
      <w:r w:rsidR="002B4F97">
        <w:rPr>
          <w:lang w:val="uk-UA"/>
        </w:rPr>
        <w:t xml:space="preserve"> манера одягатися і особистий</w:t>
      </w:r>
      <w:r w:rsidR="002B4F97" w:rsidRPr="002B4F97">
        <w:rPr>
          <w:lang w:val="uk-UA"/>
        </w:rPr>
        <w:t xml:space="preserve"> стиль</w:t>
      </w:r>
      <w:r w:rsidRPr="00923B7D">
        <w:rPr>
          <w:lang w:val="uk-UA"/>
        </w:rPr>
        <w:t xml:space="preserve">. </w:t>
      </w:r>
    </w:p>
    <w:p w:rsidR="00A007F8" w:rsidRPr="00923B7D" w:rsidRDefault="00A007F8" w:rsidP="0067613A">
      <w:pPr>
        <w:pStyle w:val="H23GR"/>
        <w:rPr>
          <w:lang w:val="uk-UA"/>
        </w:rPr>
      </w:pPr>
      <w:r w:rsidRPr="00923B7D">
        <w:rPr>
          <w:lang w:val="uk-UA"/>
        </w:rPr>
        <w:tab/>
      </w:r>
      <w:r w:rsidRPr="00923B7D">
        <w:rPr>
          <w:lang w:val="uk-UA"/>
        </w:rPr>
        <w:tab/>
        <w:t>Свобода рел</w:t>
      </w:r>
      <w:r w:rsidR="002B4F97">
        <w:rPr>
          <w:lang w:val="uk-UA"/>
        </w:rPr>
        <w:t>ігії</w:t>
      </w:r>
    </w:p>
    <w:p w:rsidR="00A007F8" w:rsidRPr="00923B7D" w:rsidRDefault="00A007F8" w:rsidP="00F058DC">
      <w:pPr>
        <w:pStyle w:val="SingleTxtGR"/>
        <w:spacing w:line="220" w:lineRule="atLeast"/>
        <w:rPr>
          <w:lang w:val="uk-UA"/>
        </w:rPr>
      </w:pPr>
      <w:r w:rsidRPr="00923B7D">
        <w:rPr>
          <w:lang w:val="uk-UA"/>
        </w:rPr>
        <w:t>43.</w:t>
      </w:r>
      <w:r w:rsidRPr="00923B7D">
        <w:rPr>
          <w:lang w:val="uk-UA"/>
        </w:rPr>
        <w:tab/>
      </w:r>
      <w:r w:rsidR="002B4F97" w:rsidRPr="002B4F97">
        <w:rPr>
          <w:lang w:val="uk-UA"/>
        </w:rPr>
        <w:t>Комітет</w:t>
      </w:r>
      <w:r w:rsidR="002B4F97">
        <w:rPr>
          <w:lang w:val="uk-UA"/>
        </w:rPr>
        <w:t xml:space="preserve"> </w:t>
      </w:r>
      <w:r w:rsidR="002B4F97" w:rsidRPr="002B4F97">
        <w:rPr>
          <w:lang w:val="uk-UA"/>
        </w:rPr>
        <w:t>закликає держави-учасни</w:t>
      </w:r>
      <w:r w:rsidR="002B4F97">
        <w:rPr>
          <w:lang w:val="uk-UA"/>
        </w:rPr>
        <w:t>ці зняти всі застереження щодо С</w:t>
      </w:r>
      <w:r w:rsidR="002B4F97" w:rsidRPr="002B4F97">
        <w:rPr>
          <w:lang w:val="uk-UA"/>
        </w:rPr>
        <w:t xml:space="preserve">татті 14 Конвенції, </w:t>
      </w:r>
      <w:r w:rsidR="002B4F97">
        <w:rPr>
          <w:lang w:val="uk-UA"/>
        </w:rPr>
        <w:t xml:space="preserve">яка наголошує на праві </w:t>
      </w:r>
      <w:r w:rsidR="002B4F97" w:rsidRPr="002B4F97">
        <w:rPr>
          <w:lang w:val="uk-UA"/>
        </w:rPr>
        <w:t>п</w:t>
      </w:r>
      <w:r w:rsidR="002B4F97">
        <w:rPr>
          <w:lang w:val="uk-UA"/>
        </w:rPr>
        <w:t>раво дитини на свободу релігії та визнає права і обов’язки батьків та</w:t>
      </w:r>
      <w:r w:rsidR="002B4F97" w:rsidRPr="002B4F97">
        <w:rPr>
          <w:lang w:val="uk-UA"/>
        </w:rPr>
        <w:t xml:space="preserve"> опікунів керувати дитиною </w:t>
      </w:r>
      <w:r w:rsidR="002B4F97">
        <w:rPr>
          <w:lang w:val="uk-UA"/>
        </w:rPr>
        <w:t>в здійсненні цього права методом, що відповідає її здібностям, що розвиваються (див. також С</w:t>
      </w:r>
      <w:r w:rsidR="002B4F97" w:rsidRPr="002B4F97">
        <w:rPr>
          <w:lang w:val="uk-UA"/>
        </w:rPr>
        <w:t xml:space="preserve">таттю 5). Іншими словами, саме дитина </w:t>
      </w:r>
      <w:r w:rsidR="002B4F97">
        <w:rPr>
          <w:lang w:val="uk-UA"/>
        </w:rPr>
        <w:t xml:space="preserve">реалізує </w:t>
      </w:r>
      <w:r w:rsidR="002B4F97" w:rsidRPr="002B4F97">
        <w:rPr>
          <w:lang w:val="uk-UA"/>
        </w:rPr>
        <w:t xml:space="preserve">право на свободу релігії, а не </w:t>
      </w:r>
      <w:r w:rsidR="002B4F97">
        <w:rPr>
          <w:lang w:val="uk-UA"/>
        </w:rPr>
        <w:t xml:space="preserve">її </w:t>
      </w:r>
      <w:r w:rsidR="002B4F97" w:rsidRPr="002B4F97">
        <w:rPr>
          <w:lang w:val="uk-UA"/>
        </w:rPr>
        <w:t xml:space="preserve">батьки, і роль батьків неминуче послаблюється, </w:t>
      </w:r>
      <w:r w:rsidR="002B4F97">
        <w:rPr>
          <w:lang w:val="uk-UA"/>
        </w:rPr>
        <w:t xml:space="preserve">адже </w:t>
      </w:r>
      <w:r w:rsidR="002B4F97" w:rsidRPr="002B4F97">
        <w:rPr>
          <w:lang w:val="uk-UA"/>
        </w:rPr>
        <w:t xml:space="preserve">дитина </w:t>
      </w:r>
      <w:r w:rsidR="002B4F97">
        <w:rPr>
          <w:lang w:val="uk-UA"/>
        </w:rPr>
        <w:t xml:space="preserve">впродовж </w:t>
      </w:r>
      <w:r w:rsidR="002B4F97" w:rsidRPr="002B4F97">
        <w:rPr>
          <w:lang w:val="uk-UA"/>
        </w:rPr>
        <w:t xml:space="preserve">підліткового віку </w:t>
      </w:r>
      <w:r w:rsidR="002B4F97">
        <w:rPr>
          <w:lang w:val="uk-UA"/>
        </w:rPr>
        <w:t xml:space="preserve">стає дедалі активнішою у здійсненні вибору. Повага до свободи релігії також має забезпечуватися у </w:t>
      </w:r>
      <w:r w:rsidR="002B4F97" w:rsidRPr="002B4F97">
        <w:rPr>
          <w:lang w:val="uk-UA"/>
        </w:rPr>
        <w:t xml:space="preserve">школах </w:t>
      </w:r>
      <w:r w:rsidR="002B4F97">
        <w:rPr>
          <w:lang w:val="uk-UA"/>
        </w:rPr>
        <w:t xml:space="preserve">та </w:t>
      </w:r>
      <w:r w:rsidR="002B4F97" w:rsidRPr="002B4F97">
        <w:rPr>
          <w:lang w:val="uk-UA"/>
        </w:rPr>
        <w:t>інших установах, в тому числі щодо відвідування предметів релігійного навчання, а дискримінація за ознакою релігійних переконань має бути заборонена</w:t>
      </w:r>
      <w:r w:rsidRPr="00923B7D">
        <w:rPr>
          <w:sz w:val="18"/>
          <w:vertAlign w:val="superscript"/>
          <w:lang w:val="uk-UA"/>
        </w:rPr>
        <w:footnoteReference w:id="19"/>
      </w:r>
      <w:r w:rsidRPr="00923B7D">
        <w:rPr>
          <w:lang w:val="uk-UA"/>
        </w:rPr>
        <w:t>.</w:t>
      </w:r>
    </w:p>
    <w:p w:rsidR="00A007F8" w:rsidRPr="002B4F97" w:rsidRDefault="00A007F8" w:rsidP="0067613A">
      <w:pPr>
        <w:pStyle w:val="H23GR"/>
        <w:rPr>
          <w:lang w:val="uk-UA"/>
        </w:rPr>
      </w:pPr>
      <w:r w:rsidRPr="00A007F8">
        <w:tab/>
      </w:r>
      <w:r w:rsidRPr="00A007F8">
        <w:tab/>
      </w:r>
      <w:r w:rsidRPr="002B4F97">
        <w:rPr>
          <w:lang w:val="uk-UA"/>
        </w:rPr>
        <w:t xml:space="preserve">Свобода </w:t>
      </w:r>
      <w:r w:rsidR="002B4F97" w:rsidRPr="002B4F97">
        <w:rPr>
          <w:lang w:val="uk-UA"/>
        </w:rPr>
        <w:t>ас</w:t>
      </w:r>
      <w:r w:rsidR="002B4F97">
        <w:rPr>
          <w:lang w:val="uk-UA"/>
        </w:rPr>
        <w:t>оціації</w:t>
      </w:r>
    </w:p>
    <w:p w:rsidR="002B4F97" w:rsidRDefault="00A007F8" w:rsidP="00A007F8">
      <w:pPr>
        <w:pStyle w:val="SingleTxtGR"/>
        <w:rPr>
          <w:lang w:val="uk-UA"/>
        </w:rPr>
      </w:pPr>
      <w:r w:rsidRPr="002B4F97">
        <w:rPr>
          <w:lang w:val="uk-UA"/>
        </w:rPr>
        <w:t>44.</w:t>
      </w:r>
      <w:r w:rsidRPr="002B4F97">
        <w:rPr>
          <w:lang w:val="uk-UA"/>
        </w:rPr>
        <w:tab/>
      </w:r>
      <w:r w:rsidR="002B4F97" w:rsidRPr="002B4F97">
        <w:rPr>
          <w:lang w:val="uk-UA"/>
        </w:rPr>
        <w:t xml:space="preserve">Підлітки хочуть </w:t>
      </w:r>
      <w:r w:rsidR="002B4F97">
        <w:rPr>
          <w:lang w:val="uk-UA"/>
        </w:rPr>
        <w:t xml:space="preserve">і повинні </w:t>
      </w:r>
      <w:r w:rsidR="002B4F97" w:rsidRPr="002B4F97">
        <w:rPr>
          <w:lang w:val="uk-UA"/>
        </w:rPr>
        <w:t xml:space="preserve">проводити </w:t>
      </w:r>
      <w:r w:rsidR="002B4F97">
        <w:rPr>
          <w:lang w:val="uk-UA"/>
        </w:rPr>
        <w:t xml:space="preserve">дедалі </w:t>
      </w:r>
      <w:r w:rsidR="002B4F97" w:rsidRPr="002B4F97">
        <w:rPr>
          <w:lang w:val="uk-UA"/>
        </w:rPr>
        <w:t xml:space="preserve">більше </w:t>
      </w:r>
      <w:r w:rsidR="002B4F97">
        <w:rPr>
          <w:lang w:val="uk-UA"/>
        </w:rPr>
        <w:t>часу зі своїми однолітками. Пов’</w:t>
      </w:r>
      <w:r w:rsidR="002B4F97" w:rsidRPr="002B4F97">
        <w:rPr>
          <w:lang w:val="uk-UA"/>
        </w:rPr>
        <w:t xml:space="preserve">язані з цим переваги </w:t>
      </w:r>
      <w:r w:rsidR="002B4F97">
        <w:rPr>
          <w:lang w:val="uk-UA"/>
        </w:rPr>
        <w:t xml:space="preserve">носять </w:t>
      </w:r>
      <w:r w:rsidR="002B4F97" w:rsidRPr="002B4F97">
        <w:rPr>
          <w:lang w:val="uk-UA"/>
        </w:rPr>
        <w:t xml:space="preserve">не </w:t>
      </w:r>
      <w:r w:rsidR="002B4F97">
        <w:rPr>
          <w:lang w:val="uk-UA"/>
        </w:rPr>
        <w:t xml:space="preserve">лише </w:t>
      </w:r>
      <w:r w:rsidR="002B4F97" w:rsidRPr="002B4F97">
        <w:rPr>
          <w:lang w:val="uk-UA"/>
        </w:rPr>
        <w:t>соціальний характер, а</w:t>
      </w:r>
      <w:r w:rsidR="002B4F97">
        <w:rPr>
          <w:lang w:val="uk-UA"/>
        </w:rPr>
        <w:t>ле</w:t>
      </w:r>
      <w:r w:rsidR="002B4F97" w:rsidRPr="002B4F97">
        <w:rPr>
          <w:lang w:val="uk-UA"/>
        </w:rPr>
        <w:t xml:space="preserve"> й сприяють розвитку якостей, що закладають основу для успішних взаємин, зайнятості та участі в житті громади, форму</w:t>
      </w:r>
      <w:r w:rsidR="002B4F97">
        <w:rPr>
          <w:lang w:val="uk-UA"/>
        </w:rPr>
        <w:t>ючи</w:t>
      </w:r>
      <w:r w:rsidR="002B4F97" w:rsidRPr="002B4F97">
        <w:rPr>
          <w:lang w:val="uk-UA"/>
        </w:rPr>
        <w:t xml:space="preserve">, зокрема, </w:t>
      </w:r>
      <w:r w:rsidR="002B4F97">
        <w:rPr>
          <w:lang w:val="uk-UA"/>
        </w:rPr>
        <w:t xml:space="preserve">навички емоційної адаптації, відчуття </w:t>
      </w:r>
      <w:r w:rsidR="002B4F97" w:rsidRPr="002B4F97">
        <w:rPr>
          <w:lang w:val="uk-UA"/>
        </w:rPr>
        <w:t xml:space="preserve">приналежності, вміння </w:t>
      </w:r>
      <w:r w:rsidR="002B4F97">
        <w:rPr>
          <w:lang w:val="uk-UA"/>
        </w:rPr>
        <w:t xml:space="preserve">залагоджувати </w:t>
      </w:r>
      <w:r w:rsidR="002B4F97" w:rsidRPr="002B4F97">
        <w:rPr>
          <w:lang w:val="uk-UA"/>
        </w:rPr>
        <w:t>конфлікти, зміцнюва</w:t>
      </w:r>
      <w:r w:rsidR="002B4F97">
        <w:rPr>
          <w:lang w:val="uk-UA"/>
        </w:rPr>
        <w:t>ти довіру і розвивати інтимні стосунки. Зв’</w:t>
      </w:r>
      <w:r w:rsidR="002B4F97" w:rsidRPr="002B4F97">
        <w:rPr>
          <w:lang w:val="uk-UA"/>
        </w:rPr>
        <w:t>яз</w:t>
      </w:r>
      <w:r w:rsidR="002B4F97">
        <w:rPr>
          <w:lang w:val="uk-UA"/>
        </w:rPr>
        <w:t xml:space="preserve">ок </w:t>
      </w:r>
      <w:r w:rsidR="002B4F97" w:rsidRPr="002B4F97">
        <w:rPr>
          <w:lang w:val="uk-UA"/>
        </w:rPr>
        <w:t xml:space="preserve">з однолітками </w:t>
      </w:r>
      <w:r w:rsidR="002B4F97">
        <w:rPr>
          <w:lang w:val="uk-UA"/>
        </w:rPr>
        <w:t xml:space="preserve">– це </w:t>
      </w:r>
      <w:r w:rsidR="002B4F97">
        <w:rPr>
          <w:lang w:val="uk-UA"/>
        </w:rPr>
        <w:lastRenderedPageBreak/>
        <w:t xml:space="preserve">наріжний камінь </w:t>
      </w:r>
      <w:r w:rsidR="002B4F97" w:rsidRPr="002B4F97">
        <w:rPr>
          <w:lang w:val="uk-UA"/>
        </w:rPr>
        <w:t>розвитку підлітк</w:t>
      </w:r>
      <w:r w:rsidR="002B4F97">
        <w:rPr>
          <w:lang w:val="uk-UA"/>
        </w:rPr>
        <w:t>а</w:t>
      </w:r>
      <w:r w:rsidR="002B4F97" w:rsidRPr="002B4F97">
        <w:rPr>
          <w:lang w:val="uk-UA"/>
        </w:rPr>
        <w:t xml:space="preserve">, і </w:t>
      </w:r>
      <w:r w:rsidR="002B4F97">
        <w:rPr>
          <w:lang w:val="uk-UA"/>
        </w:rPr>
        <w:t xml:space="preserve">його </w:t>
      </w:r>
      <w:r w:rsidR="002B4F97" w:rsidRPr="002B4F97">
        <w:rPr>
          <w:lang w:val="uk-UA"/>
        </w:rPr>
        <w:t xml:space="preserve">цінність </w:t>
      </w:r>
      <w:r w:rsidR="002B4F97">
        <w:rPr>
          <w:lang w:val="uk-UA"/>
        </w:rPr>
        <w:t>має визнаватися у школі та в інших навчальних середовищах</w:t>
      </w:r>
      <w:r w:rsidR="002B4F97" w:rsidRPr="002B4F97">
        <w:rPr>
          <w:lang w:val="uk-UA"/>
        </w:rPr>
        <w:t xml:space="preserve">, </w:t>
      </w:r>
      <w:r w:rsidR="002B4F97">
        <w:rPr>
          <w:lang w:val="uk-UA"/>
        </w:rPr>
        <w:t xml:space="preserve">під час відпочинку, в </w:t>
      </w:r>
      <w:r w:rsidR="002B4F97" w:rsidRPr="002B4F97">
        <w:rPr>
          <w:lang w:val="uk-UA"/>
        </w:rPr>
        <w:t xml:space="preserve">проведення культурних заходів і в плані можливостей для </w:t>
      </w:r>
      <w:r w:rsidR="002B4F97">
        <w:rPr>
          <w:lang w:val="uk-UA"/>
        </w:rPr>
        <w:t xml:space="preserve">залучення в соціальну, громадську, релігійну і політичну діяльність. </w:t>
      </w:r>
    </w:p>
    <w:p w:rsidR="00A007F8" w:rsidRPr="002B4F97" w:rsidRDefault="00A007F8" w:rsidP="002B4F97">
      <w:pPr>
        <w:pStyle w:val="SingleTxtGR"/>
        <w:rPr>
          <w:lang w:val="uk-UA"/>
        </w:rPr>
      </w:pPr>
      <w:r w:rsidRPr="002B4F97">
        <w:rPr>
          <w:lang w:val="uk-UA"/>
        </w:rPr>
        <w:t>45.</w:t>
      </w:r>
      <w:r w:rsidRPr="002B4F97">
        <w:rPr>
          <w:lang w:val="uk-UA"/>
        </w:rPr>
        <w:tab/>
      </w:r>
      <w:r w:rsidR="002B4F97" w:rsidRPr="002B4F97">
        <w:rPr>
          <w:lang w:val="uk-UA"/>
        </w:rPr>
        <w:t>Держави повинні гарантувати</w:t>
      </w:r>
      <w:r w:rsidR="002B4F97">
        <w:rPr>
          <w:lang w:val="uk-UA"/>
        </w:rPr>
        <w:t xml:space="preserve"> повну повагу до права</w:t>
      </w:r>
      <w:r w:rsidR="002B4F97" w:rsidRPr="002B4F97">
        <w:rPr>
          <w:lang w:val="uk-UA"/>
        </w:rPr>
        <w:t xml:space="preserve"> підлітків на свободу асоціації та мирних з</w:t>
      </w:r>
      <w:r w:rsidR="002B4F97">
        <w:rPr>
          <w:lang w:val="uk-UA"/>
        </w:rPr>
        <w:t xml:space="preserve">борів </w:t>
      </w:r>
      <w:r w:rsidR="002B4F97" w:rsidRPr="002B4F97">
        <w:rPr>
          <w:lang w:val="uk-UA"/>
        </w:rPr>
        <w:t xml:space="preserve">в усіх </w:t>
      </w:r>
      <w:r w:rsidR="002B4F97">
        <w:rPr>
          <w:lang w:val="uk-UA"/>
        </w:rPr>
        <w:t xml:space="preserve">її </w:t>
      </w:r>
      <w:r w:rsidR="002B4F97" w:rsidRPr="002B4F97">
        <w:rPr>
          <w:lang w:val="uk-UA"/>
        </w:rPr>
        <w:t>формах з урахуванням обм</w:t>
      </w:r>
      <w:r w:rsidR="002B4F97">
        <w:rPr>
          <w:lang w:val="uk-UA"/>
        </w:rPr>
        <w:t>ежень, встановлених в пункті 2 С</w:t>
      </w:r>
      <w:r w:rsidR="002B4F97" w:rsidRPr="002B4F97">
        <w:rPr>
          <w:lang w:val="uk-UA"/>
        </w:rPr>
        <w:t xml:space="preserve">татті 15 Конвенції, в тому числі шляхом забезпечення безпечного </w:t>
      </w:r>
      <w:r w:rsidR="002B4F97">
        <w:rPr>
          <w:lang w:val="uk-UA"/>
        </w:rPr>
        <w:t xml:space="preserve">простору </w:t>
      </w:r>
      <w:r w:rsidR="002B4F97" w:rsidRPr="002B4F97">
        <w:rPr>
          <w:lang w:val="uk-UA"/>
        </w:rPr>
        <w:t xml:space="preserve">для дівчаток і хлопчиків. Підліткам </w:t>
      </w:r>
      <w:r w:rsidR="002B4F97">
        <w:rPr>
          <w:lang w:val="uk-UA"/>
        </w:rPr>
        <w:t xml:space="preserve">потрібне </w:t>
      </w:r>
      <w:r w:rsidR="002B4F97" w:rsidRPr="002B4F97">
        <w:rPr>
          <w:lang w:val="uk-UA"/>
        </w:rPr>
        <w:t xml:space="preserve">юридичне визнання для створення власних асоціацій, клубів, організацій, парламентів і форумів як в рамках школи, так і поза нею, формування інтерактивних мереж, вступу в політичні партії, а також </w:t>
      </w:r>
      <w:r w:rsidR="002B4F97">
        <w:rPr>
          <w:lang w:val="uk-UA"/>
        </w:rPr>
        <w:t xml:space="preserve">приєднання чи </w:t>
      </w:r>
      <w:r w:rsidR="002B4F97" w:rsidRPr="002B4F97">
        <w:rPr>
          <w:lang w:val="uk-UA"/>
        </w:rPr>
        <w:t xml:space="preserve">створення власних професійних спілок. Слід також вжити заходів щодо захисту правозахисників серед підлітків, особливо дівчат, які </w:t>
      </w:r>
      <w:r w:rsidR="002B4F97">
        <w:rPr>
          <w:lang w:val="uk-UA"/>
        </w:rPr>
        <w:t xml:space="preserve">нерідко </w:t>
      </w:r>
      <w:r w:rsidR="002B4F97" w:rsidRPr="002B4F97">
        <w:rPr>
          <w:lang w:val="uk-UA"/>
        </w:rPr>
        <w:t>стикаються з погрозами і насильством за гендерною ознакою</w:t>
      </w:r>
      <w:r w:rsidRPr="002B4F97">
        <w:rPr>
          <w:lang w:val="uk-UA"/>
        </w:rPr>
        <w:t xml:space="preserve">. </w:t>
      </w:r>
    </w:p>
    <w:p w:rsidR="00A007F8" w:rsidRPr="002B4F97" w:rsidRDefault="00A007F8" w:rsidP="0067613A">
      <w:pPr>
        <w:pStyle w:val="H23GR"/>
        <w:rPr>
          <w:lang w:val="uk-UA"/>
        </w:rPr>
      </w:pPr>
      <w:r w:rsidRPr="002B4F97">
        <w:rPr>
          <w:lang w:val="uk-UA"/>
        </w:rPr>
        <w:tab/>
      </w:r>
      <w:r w:rsidRPr="002B4F97">
        <w:rPr>
          <w:lang w:val="uk-UA"/>
        </w:rPr>
        <w:tab/>
        <w:t>Не</w:t>
      </w:r>
      <w:r w:rsidR="002B4F97">
        <w:rPr>
          <w:lang w:val="uk-UA"/>
        </w:rPr>
        <w:t>доторканість приватного життя та конфіденційність</w:t>
      </w:r>
    </w:p>
    <w:p w:rsidR="002B4F97" w:rsidRDefault="00A007F8" w:rsidP="00A007F8">
      <w:pPr>
        <w:pStyle w:val="SingleTxtGR"/>
        <w:rPr>
          <w:lang w:val="uk-UA"/>
        </w:rPr>
      </w:pPr>
      <w:r w:rsidRPr="002B4F97">
        <w:rPr>
          <w:lang w:val="uk-UA"/>
        </w:rPr>
        <w:t>46.</w:t>
      </w:r>
      <w:r w:rsidRPr="002B4F97">
        <w:rPr>
          <w:lang w:val="uk-UA"/>
        </w:rPr>
        <w:tab/>
      </w:r>
      <w:r w:rsidR="002B4F97" w:rsidRPr="002B4F97">
        <w:rPr>
          <w:lang w:val="uk-UA"/>
        </w:rPr>
        <w:t xml:space="preserve">Право на недоторканність приватного життя </w:t>
      </w:r>
      <w:r w:rsidR="002B4F97">
        <w:rPr>
          <w:lang w:val="uk-UA"/>
        </w:rPr>
        <w:t xml:space="preserve">у підлітковому віці </w:t>
      </w:r>
      <w:r w:rsidR="002B4F97" w:rsidRPr="002B4F97">
        <w:rPr>
          <w:lang w:val="uk-UA"/>
        </w:rPr>
        <w:t xml:space="preserve">набуває </w:t>
      </w:r>
      <w:r w:rsidR="002B4F97">
        <w:rPr>
          <w:lang w:val="uk-UA"/>
        </w:rPr>
        <w:t xml:space="preserve">дедалі </w:t>
      </w:r>
      <w:r w:rsidR="002B4F97" w:rsidRPr="002B4F97">
        <w:rPr>
          <w:lang w:val="uk-UA"/>
        </w:rPr>
        <w:t>більшого значення. Комітет неодноразово висловлював занепокоєння з приводу порушення права на недоторканність приватного життя</w:t>
      </w:r>
      <w:r w:rsidR="002B4F97">
        <w:rPr>
          <w:lang w:val="uk-UA"/>
        </w:rPr>
        <w:t xml:space="preserve">, наприклад, стосовно </w:t>
      </w:r>
      <w:r w:rsidR="002B4F97" w:rsidRPr="002B4F97">
        <w:rPr>
          <w:lang w:val="uk-UA"/>
        </w:rPr>
        <w:t>конфіденційн</w:t>
      </w:r>
      <w:r w:rsidR="002B4F97">
        <w:rPr>
          <w:lang w:val="uk-UA"/>
        </w:rPr>
        <w:t>их медичних консультацій</w:t>
      </w:r>
      <w:r w:rsidR="002B4F97" w:rsidRPr="002B4F97">
        <w:rPr>
          <w:lang w:val="uk-UA"/>
        </w:rPr>
        <w:t xml:space="preserve">; </w:t>
      </w:r>
      <w:r w:rsidR="002B4F97">
        <w:rPr>
          <w:lang w:val="uk-UA"/>
        </w:rPr>
        <w:t>особистого простору і майна підлітків у</w:t>
      </w:r>
      <w:r w:rsidR="002B4F97" w:rsidRPr="002B4F97">
        <w:rPr>
          <w:lang w:val="uk-UA"/>
        </w:rPr>
        <w:t xml:space="preserve"> спеціалізованих установах; листування та інших </w:t>
      </w:r>
      <w:r w:rsidR="002B4F97">
        <w:rPr>
          <w:lang w:val="uk-UA"/>
        </w:rPr>
        <w:t xml:space="preserve">способів комунікації в </w:t>
      </w:r>
      <w:r w:rsidR="002B4F97" w:rsidRPr="002B4F97">
        <w:rPr>
          <w:lang w:val="uk-UA"/>
        </w:rPr>
        <w:t xml:space="preserve">сім'ї </w:t>
      </w:r>
      <w:r w:rsidR="002B4F97">
        <w:rPr>
          <w:lang w:val="uk-UA"/>
        </w:rPr>
        <w:t>чи в інших формах догляду</w:t>
      </w:r>
      <w:r w:rsidR="002B4F97" w:rsidRPr="002B4F97">
        <w:rPr>
          <w:lang w:val="uk-UA"/>
        </w:rPr>
        <w:t xml:space="preserve">; і </w:t>
      </w:r>
      <w:r w:rsidR="002B4F97">
        <w:rPr>
          <w:lang w:val="uk-UA"/>
        </w:rPr>
        <w:t xml:space="preserve">викриття тих, хто </w:t>
      </w:r>
      <w:r w:rsidR="002B4F97" w:rsidRPr="002B4F97">
        <w:rPr>
          <w:lang w:val="uk-UA"/>
        </w:rPr>
        <w:t>бер</w:t>
      </w:r>
      <w:r w:rsidR="002B4F97">
        <w:rPr>
          <w:lang w:val="uk-UA"/>
        </w:rPr>
        <w:t xml:space="preserve">е </w:t>
      </w:r>
      <w:r w:rsidR="002B4F97" w:rsidRPr="002B4F97">
        <w:rPr>
          <w:lang w:val="uk-UA"/>
        </w:rPr>
        <w:t xml:space="preserve">участь у кримінальному </w:t>
      </w:r>
      <w:r w:rsidR="002B4F97">
        <w:rPr>
          <w:lang w:val="uk-UA"/>
        </w:rPr>
        <w:t>провадженні</w:t>
      </w:r>
      <w:r w:rsidR="002B4F97" w:rsidRPr="002B4F97">
        <w:rPr>
          <w:sz w:val="18"/>
          <w:vertAlign w:val="superscript"/>
          <w:lang w:val="uk-UA"/>
        </w:rPr>
        <w:footnoteReference w:id="20"/>
      </w:r>
      <w:r w:rsidR="002B4F97" w:rsidRPr="002B4F97">
        <w:rPr>
          <w:lang w:val="uk-UA"/>
        </w:rPr>
        <w:t xml:space="preserve">. Право на </w:t>
      </w:r>
      <w:r w:rsidR="002B4F97">
        <w:rPr>
          <w:lang w:val="uk-UA"/>
        </w:rPr>
        <w:t xml:space="preserve">приватне життя </w:t>
      </w:r>
      <w:r w:rsidR="002B4F97" w:rsidRPr="002B4F97">
        <w:rPr>
          <w:lang w:val="uk-UA"/>
        </w:rPr>
        <w:t xml:space="preserve">також дає підліткам право </w:t>
      </w:r>
      <w:r w:rsidR="002B4F97">
        <w:rPr>
          <w:lang w:val="uk-UA"/>
        </w:rPr>
        <w:t xml:space="preserve">доступу до своїх документів і записів, </w:t>
      </w:r>
      <w:r w:rsidR="002B4F97" w:rsidRPr="002B4F97">
        <w:rPr>
          <w:lang w:val="uk-UA"/>
        </w:rPr>
        <w:t xml:space="preserve">що </w:t>
      </w:r>
      <w:r w:rsidR="002B4F97">
        <w:rPr>
          <w:lang w:val="uk-UA"/>
        </w:rPr>
        <w:t>зберігаються в закладах освіти, охорони здоров’</w:t>
      </w:r>
      <w:r w:rsidR="002B4F97" w:rsidRPr="002B4F97">
        <w:rPr>
          <w:lang w:val="uk-UA"/>
        </w:rPr>
        <w:t xml:space="preserve">я, </w:t>
      </w:r>
      <w:r w:rsidR="002B4F97">
        <w:rPr>
          <w:lang w:val="uk-UA"/>
        </w:rPr>
        <w:t xml:space="preserve">опіки та піклування і </w:t>
      </w:r>
      <w:r w:rsidR="002B4F97" w:rsidRPr="002B4F97">
        <w:rPr>
          <w:lang w:val="uk-UA"/>
        </w:rPr>
        <w:t xml:space="preserve">правосуддя. Така інформація </w:t>
      </w:r>
      <w:r w:rsidR="002B4F97">
        <w:rPr>
          <w:lang w:val="uk-UA"/>
        </w:rPr>
        <w:t xml:space="preserve">має </w:t>
      </w:r>
      <w:r w:rsidR="002B4F97" w:rsidRPr="002B4F97">
        <w:rPr>
          <w:lang w:val="uk-UA"/>
        </w:rPr>
        <w:t xml:space="preserve">бути доступна тільки </w:t>
      </w:r>
      <w:r w:rsidR="002B4F97">
        <w:rPr>
          <w:lang w:val="uk-UA"/>
        </w:rPr>
        <w:t xml:space="preserve">за </w:t>
      </w:r>
      <w:r w:rsidR="002B4F97" w:rsidRPr="002B4F97">
        <w:rPr>
          <w:lang w:val="uk-UA"/>
        </w:rPr>
        <w:t>належно</w:t>
      </w:r>
      <w:r w:rsidR="002B4F97">
        <w:rPr>
          <w:lang w:val="uk-UA"/>
        </w:rPr>
        <w:t>го дотримання</w:t>
      </w:r>
      <w:r w:rsidR="002B4F97" w:rsidRPr="002B4F97">
        <w:rPr>
          <w:lang w:val="uk-UA"/>
        </w:rPr>
        <w:t xml:space="preserve"> процесуальних гарантій і </w:t>
      </w:r>
      <w:r w:rsidR="002B4F97">
        <w:rPr>
          <w:lang w:val="uk-UA"/>
        </w:rPr>
        <w:t>лише тим особам</w:t>
      </w:r>
      <w:r w:rsidR="002B4F97" w:rsidRPr="002B4F97">
        <w:rPr>
          <w:lang w:val="uk-UA"/>
        </w:rPr>
        <w:t>, яким за законом дозволено отримувати та використовувати її</w:t>
      </w:r>
      <w:r w:rsidR="002B4F97" w:rsidRPr="002B4F97">
        <w:rPr>
          <w:sz w:val="18"/>
          <w:vertAlign w:val="superscript"/>
          <w:lang w:val="uk-UA"/>
        </w:rPr>
        <w:footnoteReference w:id="21"/>
      </w:r>
      <w:r w:rsidR="002B4F97" w:rsidRPr="002B4F97">
        <w:rPr>
          <w:lang w:val="uk-UA"/>
        </w:rPr>
        <w:t xml:space="preserve">. </w:t>
      </w:r>
      <w:r w:rsidR="006D7B52">
        <w:rPr>
          <w:lang w:val="uk-UA"/>
        </w:rPr>
        <w:t xml:space="preserve">Шляхом діалогу з підлітками, держави </w:t>
      </w:r>
      <w:r w:rsidR="002B4F97" w:rsidRPr="002B4F97">
        <w:rPr>
          <w:lang w:val="uk-UA"/>
        </w:rPr>
        <w:t>повинні виявляти випадки порушення права на недоторканність приватного життя, в тому числі щодо особисто</w:t>
      </w:r>
      <w:r w:rsidR="006D7B52">
        <w:rPr>
          <w:lang w:val="uk-UA"/>
        </w:rPr>
        <w:t xml:space="preserve">ї </w:t>
      </w:r>
      <w:r w:rsidR="002B4F97" w:rsidRPr="002B4F97">
        <w:rPr>
          <w:lang w:val="uk-UA"/>
        </w:rPr>
        <w:t>взаємодії в цифровому середовищі і використання д</w:t>
      </w:r>
      <w:r w:rsidR="006D7B52">
        <w:rPr>
          <w:lang w:val="uk-UA"/>
        </w:rPr>
        <w:t>аних комерційними та іншими суб’</w:t>
      </w:r>
      <w:r w:rsidR="002B4F97" w:rsidRPr="002B4F97">
        <w:rPr>
          <w:lang w:val="uk-UA"/>
        </w:rPr>
        <w:t xml:space="preserve">єктами. Держави </w:t>
      </w:r>
      <w:r w:rsidR="006D7B52">
        <w:rPr>
          <w:lang w:val="uk-UA"/>
        </w:rPr>
        <w:t xml:space="preserve">також </w:t>
      </w:r>
      <w:r w:rsidR="002B4F97" w:rsidRPr="002B4F97">
        <w:rPr>
          <w:lang w:val="uk-UA"/>
        </w:rPr>
        <w:t xml:space="preserve">повинні </w:t>
      </w:r>
      <w:r w:rsidR="006D7B52">
        <w:rPr>
          <w:lang w:val="uk-UA"/>
        </w:rPr>
        <w:t>вжити у</w:t>
      </w:r>
      <w:r w:rsidR="002B4F97" w:rsidRPr="002B4F97">
        <w:rPr>
          <w:lang w:val="uk-UA"/>
        </w:rPr>
        <w:t xml:space="preserve">сіх необхідних заходів з метою </w:t>
      </w:r>
      <w:r w:rsidR="006D7B52">
        <w:rPr>
          <w:lang w:val="uk-UA"/>
        </w:rPr>
        <w:t xml:space="preserve">посилення та </w:t>
      </w:r>
      <w:r w:rsidR="002B4F97" w:rsidRPr="002B4F97">
        <w:rPr>
          <w:lang w:val="uk-UA"/>
        </w:rPr>
        <w:t xml:space="preserve">забезпечення поваги </w:t>
      </w:r>
      <w:r w:rsidR="006D7B52">
        <w:rPr>
          <w:lang w:val="uk-UA"/>
        </w:rPr>
        <w:t xml:space="preserve">до </w:t>
      </w:r>
      <w:r w:rsidR="002B4F97" w:rsidRPr="002B4F97">
        <w:rPr>
          <w:lang w:val="uk-UA"/>
        </w:rPr>
        <w:t xml:space="preserve">конфіденційності даних і </w:t>
      </w:r>
      <w:r w:rsidR="006D7B52">
        <w:rPr>
          <w:lang w:val="uk-UA"/>
        </w:rPr>
        <w:t xml:space="preserve">приватного </w:t>
      </w:r>
      <w:r w:rsidR="002B4F97" w:rsidRPr="002B4F97">
        <w:rPr>
          <w:lang w:val="uk-UA"/>
        </w:rPr>
        <w:t>життя підлітків відповідно до їх здібност</w:t>
      </w:r>
      <w:r w:rsidR="006D7B52">
        <w:rPr>
          <w:lang w:val="uk-UA"/>
        </w:rPr>
        <w:t xml:space="preserve">ей, що розвиваються. </w:t>
      </w:r>
    </w:p>
    <w:p w:rsidR="00A007F8" w:rsidRPr="006D7B52" w:rsidRDefault="00A007F8" w:rsidP="0067613A">
      <w:pPr>
        <w:pStyle w:val="H23GR"/>
        <w:rPr>
          <w:lang w:val="uk-UA"/>
        </w:rPr>
      </w:pPr>
      <w:r w:rsidRPr="00A007F8">
        <w:tab/>
      </w:r>
      <w:r w:rsidRPr="00A007F8">
        <w:tab/>
      </w:r>
      <w:r w:rsidRPr="006D7B52">
        <w:rPr>
          <w:lang w:val="uk-UA"/>
        </w:rPr>
        <w:t xml:space="preserve">Право на </w:t>
      </w:r>
      <w:r w:rsidR="006D7B52">
        <w:rPr>
          <w:lang w:val="uk-UA"/>
        </w:rPr>
        <w:t>отримання інформації</w:t>
      </w:r>
    </w:p>
    <w:p w:rsidR="00A007F8" w:rsidRPr="006D7B52" w:rsidRDefault="00A007F8" w:rsidP="006D7B52">
      <w:pPr>
        <w:pStyle w:val="SingleTxtGR"/>
        <w:rPr>
          <w:lang w:val="uk-UA"/>
        </w:rPr>
      </w:pPr>
      <w:r w:rsidRPr="006D7B52">
        <w:rPr>
          <w:lang w:val="uk-UA"/>
        </w:rPr>
        <w:t>47.</w:t>
      </w:r>
      <w:r w:rsidRPr="006D7B52">
        <w:rPr>
          <w:lang w:val="uk-UA"/>
        </w:rPr>
        <w:tab/>
      </w:r>
      <w:r w:rsidR="006D7B52" w:rsidRPr="006D7B52">
        <w:rPr>
          <w:lang w:val="uk-UA"/>
        </w:rPr>
        <w:t xml:space="preserve">Доступ до інформації охоплює всі </w:t>
      </w:r>
      <w:r w:rsidR="006D7B52">
        <w:rPr>
          <w:lang w:val="uk-UA"/>
        </w:rPr>
        <w:t xml:space="preserve">форми та </w:t>
      </w:r>
      <w:r w:rsidR="006D7B52" w:rsidRPr="006D7B52">
        <w:rPr>
          <w:lang w:val="uk-UA"/>
        </w:rPr>
        <w:t xml:space="preserve">види засобів масової інформації, проте особливу увагу </w:t>
      </w:r>
      <w:r w:rsidR="006D7B52">
        <w:rPr>
          <w:lang w:val="uk-UA"/>
        </w:rPr>
        <w:t>слід звернути на цифрове середовище</w:t>
      </w:r>
      <w:r w:rsidR="006D7B52" w:rsidRPr="006D7B52">
        <w:rPr>
          <w:lang w:val="uk-UA"/>
        </w:rPr>
        <w:t xml:space="preserve">, оскільки підлітки </w:t>
      </w:r>
      <w:r w:rsidR="006D7B52">
        <w:rPr>
          <w:lang w:val="uk-UA"/>
        </w:rPr>
        <w:t xml:space="preserve">дедалі активніше </w:t>
      </w:r>
      <w:r w:rsidR="006D7B52" w:rsidRPr="006D7B52">
        <w:rPr>
          <w:lang w:val="uk-UA"/>
        </w:rPr>
        <w:t xml:space="preserve">використовують мобільні технології, а соціальні мережі і електронні </w:t>
      </w:r>
      <w:r w:rsidR="006D7B52">
        <w:rPr>
          <w:lang w:val="uk-UA"/>
        </w:rPr>
        <w:t>медіа</w:t>
      </w:r>
      <w:r w:rsidR="006D7B52" w:rsidRPr="006D7B52">
        <w:rPr>
          <w:lang w:val="uk-UA"/>
        </w:rPr>
        <w:t xml:space="preserve"> </w:t>
      </w:r>
      <w:r w:rsidR="006D7B52">
        <w:rPr>
          <w:lang w:val="uk-UA"/>
        </w:rPr>
        <w:t xml:space="preserve">стають </w:t>
      </w:r>
      <w:r w:rsidR="006D7B52" w:rsidRPr="006D7B52">
        <w:rPr>
          <w:lang w:val="uk-UA"/>
        </w:rPr>
        <w:t xml:space="preserve">основним </w:t>
      </w:r>
      <w:r w:rsidR="006D7B52">
        <w:rPr>
          <w:lang w:val="uk-UA"/>
        </w:rPr>
        <w:t>засобом</w:t>
      </w:r>
      <w:r w:rsidR="006D7B52" w:rsidRPr="006D7B52">
        <w:rPr>
          <w:lang w:val="uk-UA"/>
        </w:rPr>
        <w:t xml:space="preserve">, за допомогою якого вони </w:t>
      </w:r>
      <w:r w:rsidR="006D7B52">
        <w:rPr>
          <w:lang w:val="uk-UA"/>
        </w:rPr>
        <w:t>передають</w:t>
      </w:r>
      <w:r w:rsidR="006D7B52" w:rsidRPr="006D7B52">
        <w:rPr>
          <w:lang w:val="uk-UA"/>
        </w:rPr>
        <w:t xml:space="preserve">, отримують, створюють і поширюють інформацію. </w:t>
      </w:r>
      <w:r w:rsidR="006D7B52">
        <w:rPr>
          <w:lang w:val="uk-UA"/>
        </w:rPr>
        <w:t>Зокрема, п</w:t>
      </w:r>
      <w:r w:rsidR="006D7B52" w:rsidRPr="006D7B52">
        <w:rPr>
          <w:lang w:val="uk-UA"/>
        </w:rPr>
        <w:t>ідлітки використовують цифров</w:t>
      </w:r>
      <w:r w:rsidR="006D7B52">
        <w:rPr>
          <w:lang w:val="uk-UA"/>
        </w:rPr>
        <w:t>е середовище, щоб пізнавати себе</w:t>
      </w:r>
      <w:r w:rsidR="006D7B52" w:rsidRPr="006D7B52">
        <w:rPr>
          <w:lang w:val="uk-UA"/>
        </w:rPr>
        <w:t>, навча</w:t>
      </w:r>
      <w:r w:rsidR="006D7B52">
        <w:rPr>
          <w:lang w:val="uk-UA"/>
        </w:rPr>
        <w:t>тися, брати участь, висловлювати думки, грати, спілкуватися, долучатися до політичних процесів і шукати роботу</w:t>
      </w:r>
      <w:r w:rsidR="006D7B52" w:rsidRPr="006D7B52">
        <w:rPr>
          <w:lang w:val="uk-UA"/>
        </w:rPr>
        <w:t xml:space="preserve">. Крім цього, Інтернет </w:t>
      </w:r>
      <w:r w:rsidR="006D7B52">
        <w:rPr>
          <w:lang w:val="uk-UA"/>
        </w:rPr>
        <w:t xml:space="preserve">надає можливості </w:t>
      </w:r>
      <w:r w:rsidR="006D7B52" w:rsidRPr="006D7B52">
        <w:rPr>
          <w:lang w:val="uk-UA"/>
        </w:rPr>
        <w:t xml:space="preserve">для отримання </w:t>
      </w:r>
      <w:r w:rsidR="006D7B52">
        <w:rPr>
          <w:lang w:val="uk-UA"/>
        </w:rPr>
        <w:t>онлайн-</w:t>
      </w:r>
      <w:r w:rsidR="006D7B52" w:rsidRPr="006D7B52">
        <w:rPr>
          <w:lang w:val="uk-UA"/>
        </w:rPr>
        <w:t xml:space="preserve">доступу </w:t>
      </w:r>
      <w:r w:rsidR="006D7B52">
        <w:rPr>
          <w:lang w:val="uk-UA"/>
        </w:rPr>
        <w:t xml:space="preserve">до інформації про здоров’я, підтримку і захист, а також до </w:t>
      </w:r>
      <w:r w:rsidR="006D7B52" w:rsidRPr="006D7B52">
        <w:rPr>
          <w:lang w:val="uk-UA"/>
        </w:rPr>
        <w:t>джерел консульта</w:t>
      </w:r>
      <w:r w:rsidR="006D7B52">
        <w:rPr>
          <w:lang w:val="uk-UA"/>
        </w:rPr>
        <w:t xml:space="preserve">ційної </w:t>
      </w:r>
      <w:r w:rsidR="006D7B52" w:rsidRPr="006D7B52">
        <w:rPr>
          <w:lang w:val="uk-UA"/>
        </w:rPr>
        <w:t>допомоги</w:t>
      </w:r>
      <w:r w:rsidR="006D7B52">
        <w:rPr>
          <w:lang w:val="uk-UA"/>
        </w:rPr>
        <w:t>,</w:t>
      </w:r>
      <w:r w:rsidR="006D7B52" w:rsidRPr="006D7B52">
        <w:rPr>
          <w:lang w:val="uk-UA"/>
        </w:rPr>
        <w:t xml:space="preserve"> і може використовуватися </w:t>
      </w:r>
      <w:r w:rsidR="006D7B52" w:rsidRPr="006D7B52">
        <w:rPr>
          <w:lang w:val="uk-UA"/>
        </w:rPr>
        <w:lastRenderedPageBreak/>
        <w:t>державами в якості за</w:t>
      </w:r>
      <w:r w:rsidR="006D7B52">
        <w:rPr>
          <w:lang w:val="uk-UA"/>
        </w:rPr>
        <w:t>собу зв’</w:t>
      </w:r>
      <w:r w:rsidR="006D7B52" w:rsidRPr="006D7B52">
        <w:rPr>
          <w:lang w:val="uk-UA"/>
        </w:rPr>
        <w:t xml:space="preserve">язку і взаємодії з підлітками. Можливість доступу до відповідної інформації може </w:t>
      </w:r>
      <w:r w:rsidR="006D7B52">
        <w:rPr>
          <w:lang w:val="uk-UA"/>
        </w:rPr>
        <w:t xml:space="preserve">мати </w:t>
      </w:r>
      <w:r w:rsidR="006D7B52" w:rsidRPr="006D7B52">
        <w:rPr>
          <w:lang w:val="uk-UA"/>
        </w:rPr>
        <w:t>істотний позитивний вплив на забезпечення рівності. Рекомендації</w:t>
      </w:r>
      <w:r w:rsidR="006D7B52">
        <w:rPr>
          <w:lang w:val="uk-UA"/>
        </w:rPr>
        <w:t xml:space="preserve"> </w:t>
      </w:r>
      <w:r w:rsidR="006D7B52" w:rsidRPr="006D7B52">
        <w:rPr>
          <w:lang w:val="uk-UA"/>
        </w:rPr>
        <w:t xml:space="preserve">за підсумками загальної дискусії </w:t>
      </w:r>
      <w:r w:rsidR="006D7B52">
        <w:rPr>
          <w:lang w:val="uk-UA"/>
        </w:rPr>
        <w:t xml:space="preserve">про засоби масової інформації </w:t>
      </w:r>
      <w:r w:rsidR="006D7B52" w:rsidRPr="006D7B52">
        <w:rPr>
          <w:lang w:val="uk-UA"/>
        </w:rPr>
        <w:t xml:space="preserve">1996 </w:t>
      </w:r>
      <w:r w:rsidR="006D7B52">
        <w:rPr>
          <w:lang w:val="uk-UA"/>
        </w:rPr>
        <w:t xml:space="preserve">та 2014 року </w:t>
      </w:r>
      <w:r w:rsidR="006D7B52" w:rsidRPr="006D7B52">
        <w:rPr>
          <w:lang w:val="uk-UA"/>
        </w:rPr>
        <w:t>мають особливе значення для підлітків</w:t>
      </w:r>
      <w:r w:rsidR="006D7B52" w:rsidRPr="006D7B52">
        <w:rPr>
          <w:sz w:val="18"/>
          <w:vertAlign w:val="superscript"/>
          <w:lang w:val="uk-UA"/>
        </w:rPr>
        <w:footnoteReference w:id="22"/>
      </w:r>
      <w:r w:rsidR="006D7B52" w:rsidRPr="006D7B52">
        <w:rPr>
          <w:lang w:val="uk-UA"/>
        </w:rPr>
        <w:t>. Держави повинні вжи</w:t>
      </w:r>
      <w:r w:rsidR="006D7B52">
        <w:rPr>
          <w:lang w:val="uk-UA"/>
        </w:rPr>
        <w:t>ти заходів для забезпечення доступу до різних форм медіа для усіх без ви</w:t>
      </w:r>
      <w:r w:rsidR="00CE2E0D">
        <w:rPr>
          <w:lang w:val="uk-UA"/>
        </w:rPr>
        <w:t xml:space="preserve">нятку </w:t>
      </w:r>
      <w:r w:rsidR="006D7B52">
        <w:rPr>
          <w:lang w:val="uk-UA"/>
        </w:rPr>
        <w:t>підлітків без жодної дискримінації</w:t>
      </w:r>
      <w:r w:rsidR="006D7B52" w:rsidRPr="006D7B52">
        <w:rPr>
          <w:lang w:val="uk-UA"/>
        </w:rPr>
        <w:t xml:space="preserve">, </w:t>
      </w:r>
      <w:r w:rsidR="006D7B52">
        <w:rPr>
          <w:lang w:val="uk-UA"/>
        </w:rPr>
        <w:t xml:space="preserve">а також </w:t>
      </w:r>
      <w:r w:rsidR="006D7B52" w:rsidRPr="006D7B52">
        <w:rPr>
          <w:lang w:val="uk-UA"/>
        </w:rPr>
        <w:t xml:space="preserve">підтримувати </w:t>
      </w:r>
      <w:r w:rsidR="006D7B52">
        <w:rPr>
          <w:lang w:val="uk-UA"/>
        </w:rPr>
        <w:t>і заохочувати рівний доступ до «</w:t>
      </w:r>
      <w:r w:rsidR="006D7B52" w:rsidRPr="006D7B52">
        <w:rPr>
          <w:lang w:val="uk-UA"/>
        </w:rPr>
        <w:t>цифрового гром</w:t>
      </w:r>
      <w:r w:rsidR="006D7B52">
        <w:rPr>
          <w:lang w:val="uk-UA"/>
        </w:rPr>
        <w:t>адянства»</w:t>
      </w:r>
      <w:r w:rsidR="006D7B52" w:rsidRPr="006D7B52">
        <w:rPr>
          <w:lang w:val="uk-UA"/>
        </w:rPr>
        <w:t xml:space="preserve">, в тому числі </w:t>
      </w:r>
      <w:r w:rsidR="006D7B52">
        <w:rPr>
          <w:lang w:val="uk-UA"/>
        </w:rPr>
        <w:t>пропонуючи доступні формати для підлітків з інвалідністю</w:t>
      </w:r>
      <w:r w:rsidR="006D7B52" w:rsidRPr="006D7B52">
        <w:rPr>
          <w:lang w:val="uk-UA"/>
        </w:rPr>
        <w:t xml:space="preserve">. </w:t>
      </w:r>
      <w:r w:rsidR="006D7B52">
        <w:rPr>
          <w:lang w:val="uk-UA"/>
        </w:rPr>
        <w:t xml:space="preserve">В рамках базової навчальної програми має надаватися </w:t>
      </w:r>
      <w:r w:rsidR="006D7B52" w:rsidRPr="006D7B52">
        <w:rPr>
          <w:lang w:val="uk-UA"/>
        </w:rPr>
        <w:t xml:space="preserve">підготовка і підтримка з метою забезпечення розвитку у підлітків навичок </w:t>
      </w:r>
      <w:r w:rsidR="006D7B52">
        <w:rPr>
          <w:lang w:val="uk-UA"/>
        </w:rPr>
        <w:t xml:space="preserve">цифрової, інформаційної, медійної та соціальної </w:t>
      </w:r>
      <w:r w:rsidR="006D7B52" w:rsidRPr="006D7B52">
        <w:rPr>
          <w:lang w:val="uk-UA"/>
        </w:rPr>
        <w:t>грамотності</w:t>
      </w:r>
      <w:r w:rsidRPr="006D7B52">
        <w:rPr>
          <w:sz w:val="18"/>
          <w:vertAlign w:val="superscript"/>
          <w:lang w:val="uk-UA"/>
        </w:rPr>
        <w:footnoteReference w:id="23"/>
      </w:r>
      <w:r w:rsidRPr="006D7B52">
        <w:rPr>
          <w:lang w:val="uk-UA"/>
        </w:rPr>
        <w:t>.</w:t>
      </w:r>
    </w:p>
    <w:p w:rsidR="0092009E" w:rsidRDefault="00A007F8" w:rsidP="00A007F8">
      <w:pPr>
        <w:pStyle w:val="SingleTxtGR"/>
        <w:rPr>
          <w:lang w:val="uk-UA"/>
        </w:rPr>
      </w:pPr>
      <w:r w:rsidRPr="006D7B52">
        <w:rPr>
          <w:lang w:val="uk-UA"/>
        </w:rPr>
        <w:t>48.</w:t>
      </w:r>
      <w:r w:rsidRPr="006D7B52">
        <w:rPr>
          <w:lang w:val="uk-UA"/>
        </w:rPr>
        <w:tab/>
      </w:r>
      <w:r w:rsidR="0092009E" w:rsidRPr="0092009E">
        <w:rPr>
          <w:lang w:val="uk-UA"/>
        </w:rPr>
        <w:t xml:space="preserve">Цифрове середовище може також </w:t>
      </w:r>
      <w:r w:rsidR="0092009E">
        <w:rPr>
          <w:lang w:val="uk-UA"/>
        </w:rPr>
        <w:t xml:space="preserve">наражати </w:t>
      </w:r>
      <w:r w:rsidR="0092009E" w:rsidRPr="0092009E">
        <w:rPr>
          <w:lang w:val="uk-UA"/>
        </w:rPr>
        <w:t xml:space="preserve">підлітків </w:t>
      </w:r>
      <w:r w:rsidR="0092009E">
        <w:rPr>
          <w:lang w:val="uk-UA"/>
        </w:rPr>
        <w:t xml:space="preserve">на такі ризики, як </w:t>
      </w:r>
      <w:r w:rsidR="0092009E" w:rsidRPr="0092009E">
        <w:rPr>
          <w:lang w:val="uk-UA"/>
        </w:rPr>
        <w:t xml:space="preserve">інтернет-шахрайство, насильство і </w:t>
      </w:r>
      <w:r w:rsidR="0092009E">
        <w:rPr>
          <w:lang w:val="uk-UA"/>
        </w:rPr>
        <w:t xml:space="preserve">агресивні, </w:t>
      </w:r>
      <w:r w:rsidR="0092009E" w:rsidRPr="0092009E">
        <w:rPr>
          <w:lang w:val="uk-UA"/>
        </w:rPr>
        <w:t xml:space="preserve">ненависницькі висловлювання, </w:t>
      </w:r>
      <w:proofErr w:type="spellStart"/>
      <w:r w:rsidR="0092009E" w:rsidRPr="0092009E">
        <w:rPr>
          <w:lang w:val="uk-UA"/>
        </w:rPr>
        <w:t>сексистські</w:t>
      </w:r>
      <w:proofErr w:type="spellEnd"/>
      <w:r w:rsidR="0092009E" w:rsidRPr="0092009E">
        <w:rPr>
          <w:lang w:val="uk-UA"/>
        </w:rPr>
        <w:t xml:space="preserve"> ви</w:t>
      </w:r>
      <w:r w:rsidR="0092009E">
        <w:rPr>
          <w:lang w:val="uk-UA"/>
        </w:rPr>
        <w:t xml:space="preserve">пади </w:t>
      </w:r>
      <w:r w:rsidR="0092009E" w:rsidRPr="0092009E">
        <w:rPr>
          <w:lang w:val="uk-UA"/>
        </w:rPr>
        <w:t xml:space="preserve">на адресу дівчаток, а також </w:t>
      </w:r>
      <w:r w:rsidR="0092009E">
        <w:rPr>
          <w:lang w:val="uk-UA"/>
        </w:rPr>
        <w:t>підлітків-</w:t>
      </w:r>
      <w:r w:rsidR="0092009E" w:rsidRPr="0092009E">
        <w:rPr>
          <w:lang w:val="uk-UA"/>
        </w:rPr>
        <w:t>лесбіянок, гомос</w:t>
      </w:r>
      <w:r w:rsidR="0092009E">
        <w:rPr>
          <w:lang w:val="uk-UA"/>
        </w:rPr>
        <w:t xml:space="preserve">ексуалістів, </w:t>
      </w:r>
      <w:proofErr w:type="spellStart"/>
      <w:r w:rsidR="0092009E">
        <w:rPr>
          <w:lang w:val="uk-UA"/>
        </w:rPr>
        <w:t>бісексуалів</w:t>
      </w:r>
      <w:proofErr w:type="spellEnd"/>
      <w:r w:rsidR="0092009E">
        <w:rPr>
          <w:lang w:val="uk-UA"/>
        </w:rPr>
        <w:t xml:space="preserve">, </w:t>
      </w:r>
      <w:proofErr w:type="spellStart"/>
      <w:r w:rsidR="0092009E">
        <w:rPr>
          <w:lang w:val="uk-UA"/>
        </w:rPr>
        <w:t>трансґ</w:t>
      </w:r>
      <w:r w:rsidR="0092009E" w:rsidRPr="0092009E">
        <w:rPr>
          <w:lang w:val="uk-UA"/>
        </w:rPr>
        <w:t>ендерів</w:t>
      </w:r>
      <w:proofErr w:type="spellEnd"/>
      <w:r w:rsidR="0092009E" w:rsidRPr="0092009E">
        <w:rPr>
          <w:lang w:val="uk-UA"/>
        </w:rPr>
        <w:t xml:space="preserve"> та </w:t>
      </w:r>
      <w:proofErr w:type="spellStart"/>
      <w:r w:rsidR="0092009E" w:rsidRPr="0092009E">
        <w:rPr>
          <w:lang w:val="uk-UA"/>
        </w:rPr>
        <w:t>інтерсексуалів</w:t>
      </w:r>
      <w:proofErr w:type="spellEnd"/>
      <w:r w:rsidR="0092009E" w:rsidRPr="0092009E">
        <w:rPr>
          <w:lang w:val="uk-UA"/>
        </w:rPr>
        <w:t xml:space="preserve">, </w:t>
      </w:r>
      <w:r w:rsidR="0092009E">
        <w:rPr>
          <w:lang w:val="uk-UA"/>
        </w:rPr>
        <w:t>цькування в інтернеті («</w:t>
      </w:r>
      <w:proofErr w:type="spellStart"/>
      <w:r w:rsidR="0092009E">
        <w:rPr>
          <w:lang w:val="uk-UA"/>
        </w:rPr>
        <w:t>кібербулінг</w:t>
      </w:r>
      <w:proofErr w:type="spellEnd"/>
      <w:r w:rsidR="0092009E">
        <w:rPr>
          <w:lang w:val="uk-UA"/>
        </w:rPr>
        <w:t xml:space="preserve">»), залицяння та </w:t>
      </w:r>
      <w:proofErr w:type="spellStart"/>
      <w:r w:rsidR="0092009E">
        <w:rPr>
          <w:lang w:val="uk-UA"/>
        </w:rPr>
        <w:t>улещування</w:t>
      </w:r>
      <w:proofErr w:type="spellEnd"/>
      <w:r w:rsidR="0092009E">
        <w:rPr>
          <w:lang w:val="uk-UA"/>
        </w:rPr>
        <w:t xml:space="preserve"> </w:t>
      </w:r>
      <w:r w:rsidR="0092009E" w:rsidRPr="0092009E">
        <w:rPr>
          <w:lang w:val="uk-UA"/>
        </w:rPr>
        <w:t>з метою се</w:t>
      </w:r>
      <w:r w:rsidR="0092009E">
        <w:rPr>
          <w:lang w:val="uk-UA"/>
        </w:rPr>
        <w:t xml:space="preserve">ксуальної експлуатації, торгівлі людьми та дитячої порнографії, надмірна </w:t>
      </w:r>
      <w:proofErr w:type="spellStart"/>
      <w:r w:rsidR="0092009E">
        <w:rPr>
          <w:lang w:val="uk-UA"/>
        </w:rPr>
        <w:t>сексуалізаці</w:t>
      </w:r>
      <w:r w:rsidR="0092009E" w:rsidRPr="0092009E">
        <w:rPr>
          <w:lang w:val="uk-UA"/>
        </w:rPr>
        <w:t>я</w:t>
      </w:r>
      <w:proofErr w:type="spellEnd"/>
      <w:r w:rsidR="0092009E" w:rsidRPr="0092009E">
        <w:rPr>
          <w:lang w:val="uk-UA"/>
        </w:rPr>
        <w:t xml:space="preserve"> і вибір в якості </w:t>
      </w:r>
      <w:r w:rsidR="0092009E">
        <w:rPr>
          <w:lang w:val="uk-UA"/>
        </w:rPr>
        <w:t>цілі збройними та екстремістськими угрупованнями</w:t>
      </w:r>
      <w:r w:rsidR="0092009E" w:rsidRPr="0092009E">
        <w:rPr>
          <w:lang w:val="uk-UA"/>
        </w:rPr>
        <w:t xml:space="preserve">. </w:t>
      </w:r>
      <w:r w:rsidR="0092009E">
        <w:rPr>
          <w:lang w:val="uk-UA"/>
        </w:rPr>
        <w:t xml:space="preserve">Проте </w:t>
      </w:r>
      <w:r w:rsidR="0092009E" w:rsidRPr="0092009E">
        <w:rPr>
          <w:lang w:val="uk-UA"/>
        </w:rPr>
        <w:t>це не повинно обмежувати доступ підлітків до цифрово</w:t>
      </w:r>
      <w:r w:rsidR="0092009E">
        <w:rPr>
          <w:lang w:val="uk-UA"/>
        </w:rPr>
        <w:t>го середовища</w:t>
      </w:r>
      <w:r w:rsidR="0092009E" w:rsidRPr="0092009E">
        <w:rPr>
          <w:lang w:val="uk-UA"/>
        </w:rPr>
        <w:t xml:space="preserve">. </w:t>
      </w:r>
      <w:r w:rsidR="0092009E">
        <w:rPr>
          <w:lang w:val="uk-UA"/>
        </w:rPr>
        <w:t xml:space="preserve">Натомість потрібно захищати їх від цих загроз за допомогою комплексних </w:t>
      </w:r>
      <w:r w:rsidR="0092009E" w:rsidRPr="0092009E">
        <w:rPr>
          <w:lang w:val="uk-UA"/>
        </w:rPr>
        <w:t xml:space="preserve">стратегій, </w:t>
      </w:r>
      <w:r w:rsidR="0092009E">
        <w:rPr>
          <w:lang w:val="uk-UA"/>
        </w:rPr>
        <w:t xml:space="preserve">зокрема, шляхом підвищення </w:t>
      </w:r>
      <w:r w:rsidR="0092009E" w:rsidRPr="0092009E">
        <w:rPr>
          <w:lang w:val="uk-UA"/>
        </w:rPr>
        <w:t xml:space="preserve">цифрової грамотності </w:t>
      </w:r>
      <w:r w:rsidR="0092009E">
        <w:rPr>
          <w:lang w:val="uk-UA"/>
        </w:rPr>
        <w:t xml:space="preserve">підлітків стосовно онлайн-ризиків </w:t>
      </w:r>
      <w:r w:rsidR="0092009E" w:rsidRPr="0092009E">
        <w:rPr>
          <w:lang w:val="uk-UA"/>
        </w:rPr>
        <w:t xml:space="preserve">і </w:t>
      </w:r>
      <w:r w:rsidR="0092009E">
        <w:rPr>
          <w:lang w:val="uk-UA"/>
        </w:rPr>
        <w:t xml:space="preserve">запровадження </w:t>
      </w:r>
      <w:r w:rsidR="0092009E" w:rsidRPr="0092009E">
        <w:rPr>
          <w:lang w:val="uk-UA"/>
        </w:rPr>
        <w:t>стратегій</w:t>
      </w:r>
      <w:r w:rsidR="0092009E">
        <w:rPr>
          <w:lang w:val="uk-UA"/>
        </w:rPr>
        <w:t xml:space="preserve"> захисту</w:t>
      </w:r>
      <w:r w:rsidR="0092009E" w:rsidRPr="0092009E">
        <w:rPr>
          <w:lang w:val="uk-UA"/>
        </w:rPr>
        <w:t xml:space="preserve">, </w:t>
      </w:r>
      <w:r w:rsidR="0092009E">
        <w:rPr>
          <w:lang w:val="uk-UA"/>
        </w:rPr>
        <w:t xml:space="preserve">посилення </w:t>
      </w:r>
      <w:r w:rsidR="0092009E" w:rsidRPr="0092009E">
        <w:rPr>
          <w:lang w:val="uk-UA"/>
        </w:rPr>
        <w:t>законодавства та правоохоронних механізмів</w:t>
      </w:r>
      <w:r w:rsidR="0092009E">
        <w:rPr>
          <w:lang w:val="uk-UA"/>
        </w:rPr>
        <w:t xml:space="preserve"> для протидії насильству в інтернеті та </w:t>
      </w:r>
      <w:r w:rsidR="0092009E" w:rsidRPr="0092009E">
        <w:rPr>
          <w:lang w:val="uk-UA"/>
        </w:rPr>
        <w:t>боротьб</w:t>
      </w:r>
      <w:r w:rsidR="0092009E">
        <w:rPr>
          <w:lang w:val="uk-UA"/>
        </w:rPr>
        <w:t>и</w:t>
      </w:r>
      <w:r w:rsidR="0092009E" w:rsidRPr="0092009E">
        <w:rPr>
          <w:lang w:val="uk-UA"/>
        </w:rPr>
        <w:t xml:space="preserve"> з безкарністю, а також </w:t>
      </w:r>
      <w:r w:rsidR="0092009E">
        <w:rPr>
          <w:lang w:val="uk-UA"/>
        </w:rPr>
        <w:t xml:space="preserve">відповідного </w:t>
      </w:r>
      <w:r w:rsidR="0092009E" w:rsidRPr="0092009E">
        <w:rPr>
          <w:lang w:val="uk-UA"/>
        </w:rPr>
        <w:t xml:space="preserve">навчання батьків і фахівців, </w:t>
      </w:r>
      <w:r w:rsidR="0092009E">
        <w:rPr>
          <w:lang w:val="uk-UA"/>
        </w:rPr>
        <w:t>які</w:t>
      </w:r>
      <w:r w:rsidR="0092009E" w:rsidRPr="0092009E">
        <w:rPr>
          <w:lang w:val="uk-UA"/>
        </w:rPr>
        <w:t xml:space="preserve"> працюють з дітьми. Державам настійно </w:t>
      </w:r>
      <w:r w:rsidR="0092009E">
        <w:rPr>
          <w:lang w:val="uk-UA"/>
        </w:rPr>
        <w:t xml:space="preserve">рекомендується активно долучати підлітків до розробки та впровадження ініціатив, </w:t>
      </w:r>
      <w:r w:rsidR="0092009E" w:rsidRPr="0092009E">
        <w:rPr>
          <w:lang w:val="uk-UA"/>
        </w:rPr>
        <w:t xml:space="preserve">спрямованих на </w:t>
      </w:r>
      <w:r w:rsidR="0092009E">
        <w:rPr>
          <w:lang w:val="uk-UA"/>
        </w:rPr>
        <w:t>посилення безпеки в і</w:t>
      </w:r>
      <w:r w:rsidR="0092009E" w:rsidRPr="0092009E">
        <w:rPr>
          <w:lang w:val="uk-UA"/>
        </w:rPr>
        <w:t xml:space="preserve">нтернеті, в тому числі за допомогою наставництва </w:t>
      </w:r>
      <w:r w:rsidR="0092009E">
        <w:rPr>
          <w:lang w:val="uk-UA"/>
        </w:rPr>
        <w:t>за принципом «рівний рівному»</w:t>
      </w:r>
      <w:r w:rsidR="0092009E" w:rsidRPr="0092009E">
        <w:rPr>
          <w:lang w:val="uk-UA"/>
        </w:rPr>
        <w:t xml:space="preserve">. </w:t>
      </w:r>
      <w:r w:rsidR="0092009E">
        <w:rPr>
          <w:lang w:val="uk-UA"/>
        </w:rPr>
        <w:t xml:space="preserve">Потрібні </w:t>
      </w:r>
      <w:r w:rsidR="0092009E" w:rsidRPr="0092009E">
        <w:rPr>
          <w:lang w:val="uk-UA"/>
        </w:rPr>
        <w:t xml:space="preserve">інвестиції в розвиток технологічних рішень </w:t>
      </w:r>
      <w:r w:rsidR="0092009E">
        <w:rPr>
          <w:lang w:val="uk-UA"/>
        </w:rPr>
        <w:t xml:space="preserve">щодо запобігання і захисту, </w:t>
      </w:r>
      <w:r w:rsidR="0092009E" w:rsidRPr="0092009E">
        <w:rPr>
          <w:lang w:val="uk-UA"/>
        </w:rPr>
        <w:t xml:space="preserve">а також забезпечення </w:t>
      </w:r>
      <w:r w:rsidR="0092009E">
        <w:rPr>
          <w:lang w:val="uk-UA"/>
        </w:rPr>
        <w:t xml:space="preserve">наявності </w:t>
      </w:r>
      <w:r w:rsidR="0092009E" w:rsidRPr="0092009E">
        <w:rPr>
          <w:lang w:val="uk-UA"/>
        </w:rPr>
        <w:t>допомоги і підтримки. Державам рекомендується вимагати</w:t>
      </w:r>
      <w:r w:rsidR="0092009E">
        <w:rPr>
          <w:lang w:val="uk-UA"/>
        </w:rPr>
        <w:t xml:space="preserve"> від бізнесу проявляти </w:t>
      </w:r>
      <w:r w:rsidR="0092009E" w:rsidRPr="0092009E">
        <w:rPr>
          <w:lang w:val="uk-UA"/>
        </w:rPr>
        <w:t>належну обачність щодо прав дітей з метою</w:t>
      </w:r>
      <w:r w:rsidR="0092009E">
        <w:rPr>
          <w:lang w:val="uk-UA"/>
        </w:rPr>
        <w:t xml:space="preserve"> виявлення, попередження та пом’</w:t>
      </w:r>
      <w:r w:rsidR="0092009E" w:rsidRPr="0092009E">
        <w:rPr>
          <w:lang w:val="uk-UA"/>
        </w:rPr>
        <w:t xml:space="preserve">якшення впливу ризиків на права дітей при використанні ними </w:t>
      </w:r>
      <w:r w:rsidR="0092009E">
        <w:rPr>
          <w:lang w:val="uk-UA"/>
        </w:rPr>
        <w:t xml:space="preserve">цифрових медіа та </w:t>
      </w:r>
      <w:r w:rsidR="0092009E" w:rsidRPr="0092009E">
        <w:rPr>
          <w:lang w:val="uk-UA"/>
        </w:rPr>
        <w:t>інформаційно-комунікаційних технологій</w:t>
      </w:r>
      <w:r w:rsidR="0092009E">
        <w:rPr>
          <w:lang w:val="uk-UA"/>
        </w:rPr>
        <w:t xml:space="preserve">. </w:t>
      </w:r>
    </w:p>
    <w:p w:rsidR="00A007F8" w:rsidRPr="0092009E" w:rsidRDefault="00A007F8" w:rsidP="0067613A">
      <w:pPr>
        <w:pStyle w:val="HChGR"/>
        <w:rPr>
          <w:lang w:val="uk-UA"/>
        </w:rPr>
      </w:pPr>
      <w:r w:rsidRPr="00A007F8">
        <w:tab/>
      </w:r>
      <w:proofErr w:type="spellStart"/>
      <w:r w:rsidRPr="0092009E">
        <w:rPr>
          <w:lang w:val="uk-UA"/>
        </w:rPr>
        <w:t>IХ</w:t>
      </w:r>
      <w:proofErr w:type="spellEnd"/>
      <w:r w:rsidRPr="0092009E">
        <w:rPr>
          <w:lang w:val="uk-UA"/>
        </w:rPr>
        <w:t>.</w:t>
      </w:r>
      <w:r w:rsidRPr="0092009E">
        <w:rPr>
          <w:lang w:val="uk-UA"/>
        </w:rPr>
        <w:tab/>
        <w:t>Насил</w:t>
      </w:r>
      <w:r w:rsidR="00712731">
        <w:rPr>
          <w:lang w:val="uk-UA"/>
        </w:rPr>
        <w:t>ьство щодо дітей</w:t>
      </w:r>
      <w:r w:rsidRPr="0092009E">
        <w:rPr>
          <w:lang w:val="uk-UA"/>
        </w:rPr>
        <w:t xml:space="preserve"> </w:t>
      </w:r>
      <w:bookmarkStart w:id="12" w:name="_Toc468797244"/>
      <w:bookmarkEnd w:id="12"/>
    </w:p>
    <w:p w:rsidR="00A007F8" w:rsidRPr="0092009E" w:rsidRDefault="00A007F8" w:rsidP="0067613A">
      <w:pPr>
        <w:pStyle w:val="H23GR"/>
        <w:rPr>
          <w:lang w:val="uk-UA"/>
        </w:rPr>
      </w:pPr>
      <w:r w:rsidRPr="0092009E">
        <w:rPr>
          <w:lang w:val="uk-UA"/>
        </w:rPr>
        <w:tab/>
      </w:r>
      <w:r w:rsidRPr="0092009E">
        <w:rPr>
          <w:lang w:val="uk-UA"/>
        </w:rPr>
        <w:tab/>
        <w:t>За</w:t>
      </w:r>
      <w:r w:rsidR="00712731">
        <w:rPr>
          <w:lang w:val="uk-UA"/>
        </w:rPr>
        <w:t>хист від усіх форм насильства</w:t>
      </w:r>
    </w:p>
    <w:p w:rsidR="00712731" w:rsidRDefault="00A007F8" w:rsidP="00A007F8">
      <w:pPr>
        <w:pStyle w:val="SingleTxtGR"/>
        <w:rPr>
          <w:lang w:val="uk-UA"/>
        </w:rPr>
      </w:pPr>
      <w:r w:rsidRPr="0092009E">
        <w:rPr>
          <w:lang w:val="uk-UA"/>
        </w:rPr>
        <w:t>49.</w:t>
      </w:r>
      <w:r w:rsidRPr="0092009E">
        <w:rPr>
          <w:lang w:val="uk-UA"/>
        </w:rPr>
        <w:tab/>
      </w:r>
      <w:r w:rsidR="00712731" w:rsidRPr="00712731">
        <w:rPr>
          <w:lang w:val="uk-UA"/>
        </w:rPr>
        <w:t>Комітет звертає увагу держав-учасни</w:t>
      </w:r>
      <w:r w:rsidR="00712731">
        <w:rPr>
          <w:lang w:val="uk-UA"/>
        </w:rPr>
        <w:t xml:space="preserve">ць </w:t>
      </w:r>
      <w:r w:rsidR="00712731" w:rsidRPr="00712731">
        <w:rPr>
          <w:lang w:val="uk-UA"/>
        </w:rPr>
        <w:t>на рекомендації, що містяться в зауваженнях загального порядку № 13 (2011) п</w:t>
      </w:r>
      <w:r w:rsidR="00712731">
        <w:rPr>
          <w:lang w:val="uk-UA"/>
        </w:rPr>
        <w:t>ро право дитини на свободу від у</w:t>
      </w:r>
      <w:r w:rsidR="00712731" w:rsidRPr="00712731">
        <w:rPr>
          <w:lang w:val="uk-UA"/>
        </w:rPr>
        <w:t>сіх форм насильства</w:t>
      </w:r>
      <w:r w:rsidR="00712731">
        <w:rPr>
          <w:lang w:val="uk-UA"/>
        </w:rPr>
        <w:t>,</w:t>
      </w:r>
      <w:r w:rsidR="00712731" w:rsidRPr="00712731">
        <w:rPr>
          <w:lang w:val="uk-UA"/>
        </w:rPr>
        <w:t xml:space="preserve"> та № 18 (2014) про шкідлив</w:t>
      </w:r>
      <w:r w:rsidR="00712731">
        <w:rPr>
          <w:lang w:val="uk-UA"/>
        </w:rPr>
        <w:t xml:space="preserve">і </w:t>
      </w:r>
      <w:r w:rsidR="00712731" w:rsidRPr="00712731">
        <w:rPr>
          <w:lang w:val="uk-UA"/>
        </w:rPr>
        <w:t>практи</w:t>
      </w:r>
      <w:r w:rsidR="00712731">
        <w:rPr>
          <w:lang w:val="uk-UA"/>
        </w:rPr>
        <w:t>ки</w:t>
      </w:r>
      <w:r w:rsidR="00712731" w:rsidRPr="00712731">
        <w:rPr>
          <w:lang w:val="uk-UA"/>
        </w:rPr>
        <w:t xml:space="preserve">, що стосуються </w:t>
      </w:r>
      <w:r w:rsidR="00712731">
        <w:rPr>
          <w:lang w:val="uk-UA"/>
        </w:rPr>
        <w:t xml:space="preserve">комплексних </w:t>
      </w:r>
      <w:r w:rsidR="00712731" w:rsidRPr="00712731">
        <w:rPr>
          <w:lang w:val="uk-UA"/>
        </w:rPr>
        <w:t>законодавчих, адміністративних, соціальних і освітніх заходів</w:t>
      </w:r>
      <w:r w:rsidR="00712731">
        <w:rPr>
          <w:lang w:val="uk-UA"/>
        </w:rPr>
        <w:t xml:space="preserve">, покликаних </w:t>
      </w:r>
      <w:r w:rsidR="00712731" w:rsidRPr="00712731">
        <w:rPr>
          <w:lang w:val="uk-UA"/>
        </w:rPr>
        <w:t xml:space="preserve">покласти край всім формам насильства, </w:t>
      </w:r>
      <w:r w:rsidR="00712731">
        <w:rPr>
          <w:lang w:val="uk-UA"/>
        </w:rPr>
        <w:t xml:space="preserve">включаючи </w:t>
      </w:r>
      <w:r w:rsidR="00712731" w:rsidRPr="00712731">
        <w:rPr>
          <w:lang w:val="uk-UA"/>
        </w:rPr>
        <w:t xml:space="preserve">законодавчу заборону </w:t>
      </w:r>
      <w:r w:rsidR="00712731">
        <w:rPr>
          <w:lang w:val="uk-UA"/>
        </w:rPr>
        <w:t xml:space="preserve">тілесних покарань </w:t>
      </w:r>
      <w:r w:rsidR="00712731" w:rsidRPr="00712731">
        <w:rPr>
          <w:lang w:val="uk-UA"/>
        </w:rPr>
        <w:t>в усіх ситуаціях, і спрямован</w:t>
      </w:r>
      <w:r w:rsidR="00712731">
        <w:rPr>
          <w:lang w:val="uk-UA"/>
        </w:rPr>
        <w:t>их</w:t>
      </w:r>
      <w:r w:rsidR="00712731" w:rsidRPr="00712731">
        <w:rPr>
          <w:lang w:val="uk-UA"/>
        </w:rPr>
        <w:t xml:space="preserve"> на перетворення і припинення всіх видів шкідливої </w:t>
      </w:r>
      <w:r w:rsidR="00712731" w:rsidRPr="00712731">
        <w:rPr>
          <w:rFonts w:ascii="Cambria Math" w:hAnsi="Cambria Math" w:cs="Cambria Math"/>
          <w:lang w:val="uk-UA"/>
        </w:rPr>
        <w:t>​​</w:t>
      </w:r>
      <w:r w:rsidR="00712731" w:rsidRPr="00712731">
        <w:rPr>
          <w:lang w:val="uk-UA"/>
        </w:rPr>
        <w:t>практики. Держави-учасни</w:t>
      </w:r>
      <w:r w:rsidR="00712731">
        <w:rPr>
          <w:lang w:val="uk-UA"/>
        </w:rPr>
        <w:t>ці</w:t>
      </w:r>
      <w:r w:rsidR="00712731" w:rsidRPr="00712731">
        <w:rPr>
          <w:lang w:val="uk-UA"/>
        </w:rPr>
        <w:t xml:space="preserve"> повинні створювати більше можливостей для розширення інституційних програм </w:t>
      </w:r>
      <w:r w:rsidR="00712731">
        <w:rPr>
          <w:lang w:val="uk-UA"/>
        </w:rPr>
        <w:t xml:space="preserve">із </w:t>
      </w:r>
      <w:r w:rsidR="00712731">
        <w:rPr>
          <w:lang w:val="uk-UA"/>
        </w:rPr>
        <w:lastRenderedPageBreak/>
        <w:t>запобігання та</w:t>
      </w:r>
      <w:r w:rsidR="00712731" w:rsidRPr="00712731">
        <w:rPr>
          <w:lang w:val="uk-UA"/>
        </w:rPr>
        <w:t xml:space="preserve"> реабілітації, а також соціальної реінтеграції підлітків, які стали жертвами</w:t>
      </w:r>
      <w:r w:rsidR="00712731">
        <w:rPr>
          <w:lang w:val="uk-UA"/>
        </w:rPr>
        <w:t xml:space="preserve"> насильства</w:t>
      </w:r>
      <w:r w:rsidR="00712731" w:rsidRPr="00712731">
        <w:rPr>
          <w:lang w:val="uk-UA"/>
        </w:rPr>
        <w:t xml:space="preserve">. Комітет наголошує на необхідності залучення підлітків </w:t>
      </w:r>
      <w:r w:rsidR="00712731">
        <w:rPr>
          <w:lang w:val="uk-UA"/>
        </w:rPr>
        <w:t xml:space="preserve">у створення </w:t>
      </w:r>
      <w:r w:rsidR="00712731" w:rsidRPr="00712731">
        <w:rPr>
          <w:lang w:val="uk-UA"/>
        </w:rPr>
        <w:t xml:space="preserve">превентивних стратегій і заходів </w:t>
      </w:r>
      <w:r w:rsidR="00712731">
        <w:rPr>
          <w:lang w:val="uk-UA"/>
        </w:rPr>
        <w:t xml:space="preserve">із захисту </w:t>
      </w:r>
      <w:r w:rsidR="00712731" w:rsidRPr="00712731">
        <w:rPr>
          <w:lang w:val="uk-UA"/>
        </w:rPr>
        <w:t>жертв насильства</w:t>
      </w:r>
    </w:p>
    <w:p w:rsidR="00A007F8" w:rsidRPr="0092009E" w:rsidRDefault="00A007F8" w:rsidP="0067613A">
      <w:pPr>
        <w:pStyle w:val="HChGR"/>
        <w:rPr>
          <w:lang w:val="uk-UA"/>
        </w:rPr>
      </w:pPr>
      <w:r w:rsidRPr="0092009E">
        <w:rPr>
          <w:lang w:val="uk-UA"/>
        </w:rPr>
        <w:tab/>
        <w:t>X.</w:t>
      </w:r>
      <w:r w:rsidRPr="0092009E">
        <w:rPr>
          <w:lang w:val="uk-UA"/>
        </w:rPr>
        <w:tab/>
        <w:t>С</w:t>
      </w:r>
      <w:r w:rsidR="00712731">
        <w:rPr>
          <w:lang w:val="uk-UA"/>
        </w:rPr>
        <w:t>імейне оточення та альтернативний догляд</w:t>
      </w:r>
      <w:bookmarkStart w:id="13" w:name="_Toc468797245"/>
      <w:bookmarkEnd w:id="13"/>
    </w:p>
    <w:p w:rsidR="00A007F8" w:rsidRPr="0092009E" w:rsidRDefault="00A007F8" w:rsidP="0067613A">
      <w:pPr>
        <w:pStyle w:val="H23GR"/>
        <w:rPr>
          <w:lang w:val="uk-UA"/>
        </w:rPr>
      </w:pPr>
      <w:r w:rsidRPr="0092009E">
        <w:rPr>
          <w:lang w:val="uk-UA"/>
        </w:rPr>
        <w:tab/>
      </w:r>
      <w:r w:rsidRPr="0092009E">
        <w:rPr>
          <w:lang w:val="uk-UA"/>
        </w:rPr>
        <w:tab/>
        <w:t>П</w:t>
      </w:r>
      <w:r w:rsidR="00712731">
        <w:rPr>
          <w:lang w:val="uk-UA"/>
        </w:rPr>
        <w:t>ідтримка батьків та піклувальників</w:t>
      </w:r>
    </w:p>
    <w:p w:rsidR="00A007F8" w:rsidRPr="0092009E" w:rsidRDefault="00A007F8" w:rsidP="00A007F8">
      <w:pPr>
        <w:pStyle w:val="SingleTxtGR"/>
        <w:rPr>
          <w:lang w:val="uk-UA"/>
        </w:rPr>
      </w:pPr>
      <w:r w:rsidRPr="0092009E">
        <w:rPr>
          <w:lang w:val="uk-UA"/>
        </w:rPr>
        <w:t>50.</w:t>
      </w:r>
      <w:r w:rsidRPr="0092009E">
        <w:rPr>
          <w:lang w:val="uk-UA"/>
        </w:rPr>
        <w:tab/>
      </w:r>
      <w:r w:rsidR="00712731">
        <w:rPr>
          <w:lang w:val="uk-UA"/>
        </w:rPr>
        <w:t>Роль батьків та піклувальників у</w:t>
      </w:r>
      <w:r w:rsidR="00712731" w:rsidRPr="00712731">
        <w:rPr>
          <w:lang w:val="uk-UA"/>
        </w:rPr>
        <w:t xml:space="preserve"> забезпеченні безпеки, емоційної стабільності, заохочення і захисту дітей </w:t>
      </w:r>
      <w:r w:rsidR="00712731">
        <w:rPr>
          <w:lang w:val="uk-UA"/>
        </w:rPr>
        <w:t>залишається актуальною і в підлітковому віці</w:t>
      </w:r>
      <w:r w:rsidR="00712731" w:rsidRPr="00712731">
        <w:rPr>
          <w:lang w:val="uk-UA"/>
        </w:rPr>
        <w:t xml:space="preserve">. Комітет </w:t>
      </w:r>
      <w:r w:rsidR="00712731">
        <w:rPr>
          <w:lang w:val="uk-UA"/>
        </w:rPr>
        <w:t xml:space="preserve">наголошує на зобов’язаннях </w:t>
      </w:r>
      <w:r w:rsidR="00712731" w:rsidRPr="00712731">
        <w:rPr>
          <w:lang w:val="uk-UA"/>
        </w:rPr>
        <w:t xml:space="preserve">держав </w:t>
      </w:r>
      <w:r w:rsidR="00712731">
        <w:rPr>
          <w:lang w:val="uk-UA"/>
        </w:rPr>
        <w:t xml:space="preserve">щодо </w:t>
      </w:r>
      <w:r w:rsidR="00712731" w:rsidRPr="00712731">
        <w:rPr>
          <w:lang w:val="uk-UA"/>
        </w:rPr>
        <w:t xml:space="preserve">надання належної допомоги батькам та </w:t>
      </w:r>
      <w:r w:rsidR="00712731">
        <w:rPr>
          <w:lang w:val="uk-UA"/>
        </w:rPr>
        <w:t>піклувальникам, як зазначено у пунктах 2 і 3 С</w:t>
      </w:r>
      <w:r w:rsidR="00712731" w:rsidRPr="00712731">
        <w:rPr>
          <w:lang w:val="uk-UA"/>
        </w:rPr>
        <w:t xml:space="preserve">татті 18 Конвенції, </w:t>
      </w:r>
      <w:r w:rsidR="00712731">
        <w:rPr>
          <w:lang w:val="uk-UA"/>
        </w:rPr>
        <w:t xml:space="preserve">а також допомоги </w:t>
      </w:r>
      <w:r w:rsidR="00712731" w:rsidRPr="00712731">
        <w:rPr>
          <w:lang w:val="uk-UA"/>
        </w:rPr>
        <w:t>у забезпеченні підтримки і умов життя, необхідних для оптимального розвитку</w:t>
      </w:r>
      <w:r w:rsidR="00712731">
        <w:rPr>
          <w:lang w:val="uk-UA"/>
        </w:rPr>
        <w:t xml:space="preserve"> дитини, відповідно до пункту 2 Статті 27</w:t>
      </w:r>
      <w:r w:rsidR="00712731" w:rsidRPr="00712731">
        <w:rPr>
          <w:lang w:val="uk-UA"/>
        </w:rPr>
        <w:t xml:space="preserve">, </w:t>
      </w:r>
      <w:r w:rsidR="00712731">
        <w:rPr>
          <w:lang w:val="uk-UA"/>
        </w:rPr>
        <w:t xml:space="preserve">що </w:t>
      </w:r>
      <w:r w:rsidR="00712731" w:rsidRPr="00712731">
        <w:rPr>
          <w:lang w:val="uk-UA"/>
        </w:rPr>
        <w:t xml:space="preserve">так само </w:t>
      </w:r>
      <w:r w:rsidR="00712731">
        <w:rPr>
          <w:lang w:val="uk-UA"/>
        </w:rPr>
        <w:t xml:space="preserve">стосується і </w:t>
      </w:r>
      <w:r w:rsidR="00712731" w:rsidRPr="00712731">
        <w:rPr>
          <w:lang w:val="uk-UA"/>
        </w:rPr>
        <w:t xml:space="preserve">батьків підлітків. Така підтримка </w:t>
      </w:r>
      <w:r w:rsidR="00712731">
        <w:rPr>
          <w:lang w:val="uk-UA"/>
        </w:rPr>
        <w:t xml:space="preserve">має </w:t>
      </w:r>
      <w:r w:rsidR="00712731" w:rsidRPr="00712731">
        <w:rPr>
          <w:lang w:val="uk-UA"/>
        </w:rPr>
        <w:t>належним чином враховувати права і здібності підлітків</w:t>
      </w:r>
      <w:r w:rsidR="00712731">
        <w:rPr>
          <w:lang w:val="uk-UA"/>
        </w:rPr>
        <w:t>, що розвиваються, а також дедалі зростаючий внесок підлітків у своє власне життя</w:t>
      </w:r>
      <w:r w:rsidR="00712731" w:rsidRPr="00712731">
        <w:rPr>
          <w:lang w:val="uk-UA"/>
        </w:rPr>
        <w:t xml:space="preserve">. Держави </w:t>
      </w:r>
      <w:r w:rsidR="00712731">
        <w:rPr>
          <w:lang w:val="uk-UA"/>
        </w:rPr>
        <w:t xml:space="preserve">не </w:t>
      </w:r>
      <w:r w:rsidR="00712731" w:rsidRPr="00712731">
        <w:rPr>
          <w:lang w:val="uk-UA"/>
        </w:rPr>
        <w:t xml:space="preserve">повинні </w:t>
      </w:r>
      <w:r w:rsidR="00712731">
        <w:rPr>
          <w:lang w:val="uk-UA"/>
        </w:rPr>
        <w:t xml:space="preserve">допускати, щоб </w:t>
      </w:r>
      <w:r w:rsidR="000E2E6E">
        <w:rPr>
          <w:lang w:val="uk-UA"/>
        </w:rPr>
        <w:t xml:space="preserve">в ім’я </w:t>
      </w:r>
      <w:r w:rsidR="00712731" w:rsidRPr="00712731">
        <w:rPr>
          <w:lang w:val="uk-UA"/>
        </w:rPr>
        <w:t xml:space="preserve">традиційних цінностей </w:t>
      </w:r>
      <w:r w:rsidR="00712731">
        <w:rPr>
          <w:lang w:val="uk-UA"/>
        </w:rPr>
        <w:t>толерувалося чи виправдовувалося насильство</w:t>
      </w:r>
      <w:r w:rsidR="00712731" w:rsidRPr="00712731">
        <w:rPr>
          <w:lang w:val="uk-UA"/>
        </w:rPr>
        <w:t>, закріплювал</w:t>
      </w:r>
      <w:r w:rsidR="00712731">
        <w:rPr>
          <w:lang w:val="uk-UA"/>
        </w:rPr>
        <w:t xml:space="preserve">ася </w:t>
      </w:r>
      <w:r w:rsidR="00712731" w:rsidRPr="00712731">
        <w:rPr>
          <w:lang w:val="uk-UA"/>
        </w:rPr>
        <w:t xml:space="preserve">нерівність в сімейних </w:t>
      </w:r>
      <w:r w:rsidR="00712731">
        <w:rPr>
          <w:lang w:val="uk-UA"/>
        </w:rPr>
        <w:t>стосунках, а підлітки були б позбавлені можливості реалізовувати свої основні права</w:t>
      </w:r>
      <w:r w:rsidRPr="0092009E">
        <w:rPr>
          <w:sz w:val="18"/>
          <w:vertAlign w:val="superscript"/>
          <w:lang w:val="uk-UA"/>
        </w:rPr>
        <w:footnoteReference w:id="24"/>
      </w:r>
      <w:r w:rsidRPr="0092009E">
        <w:rPr>
          <w:lang w:val="uk-UA"/>
        </w:rPr>
        <w:t>.</w:t>
      </w:r>
    </w:p>
    <w:p w:rsidR="00A007F8" w:rsidRPr="0092009E" w:rsidRDefault="00A007F8" w:rsidP="0033774B">
      <w:pPr>
        <w:pStyle w:val="SingleTxtGR"/>
        <w:rPr>
          <w:lang w:val="uk-UA"/>
        </w:rPr>
      </w:pPr>
      <w:r w:rsidRPr="0092009E">
        <w:rPr>
          <w:lang w:val="uk-UA"/>
        </w:rPr>
        <w:t>51.</w:t>
      </w:r>
      <w:r w:rsidRPr="0092009E">
        <w:rPr>
          <w:lang w:val="uk-UA"/>
        </w:rPr>
        <w:tab/>
      </w:r>
      <w:r w:rsidR="0033774B" w:rsidRPr="0033774B">
        <w:rPr>
          <w:lang w:val="uk-UA"/>
        </w:rPr>
        <w:t>Комітет звертає увагу держав-учасни</w:t>
      </w:r>
      <w:r w:rsidR="0033774B">
        <w:rPr>
          <w:lang w:val="uk-UA"/>
        </w:rPr>
        <w:t xml:space="preserve">ць </w:t>
      </w:r>
      <w:r w:rsidR="0033774B" w:rsidRPr="0033774B">
        <w:rPr>
          <w:lang w:val="uk-UA"/>
        </w:rPr>
        <w:t xml:space="preserve">на </w:t>
      </w:r>
      <w:r w:rsidR="000E2E6E">
        <w:rPr>
          <w:lang w:val="uk-UA"/>
        </w:rPr>
        <w:t xml:space="preserve">значимість </w:t>
      </w:r>
      <w:r w:rsidR="0033774B">
        <w:rPr>
          <w:lang w:val="uk-UA"/>
        </w:rPr>
        <w:t xml:space="preserve">дедалі зростаючих відмінностей між середовищем </w:t>
      </w:r>
      <w:r w:rsidR="000E2E6E">
        <w:rPr>
          <w:lang w:val="uk-UA"/>
        </w:rPr>
        <w:t xml:space="preserve">життя </w:t>
      </w:r>
      <w:r w:rsidR="0033774B">
        <w:rPr>
          <w:lang w:val="uk-UA"/>
        </w:rPr>
        <w:t xml:space="preserve">сучасних підлітків, </w:t>
      </w:r>
      <w:r w:rsidR="0033774B" w:rsidRPr="0033774B">
        <w:rPr>
          <w:lang w:val="uk-UA"/>
        </w:rPr>
        <w:t>що характеризу</w:t>
      </w:r>
      <w:r w:rsidR="0033774B">
        <w:rPr>
          <w:lang w:val="uk-UA"/>
        </w:rPr>
        <w:t>є</w:t>
      </w:r>
      <w:r w:rsidR="0033774B" w:rsidRPr="0033774B">
        <w:rPr>
          <w:lang w:val="uk-UA"/>
        </w:rPr>
        <w:t xml:space="preserve">ться епохою цифрових технологій і глобалізацією, і тими умовами, в яких </w:t>
      </w:r>
      <w:r w:rsidR="0033774B">
        <w:rPr>
          <w:lang w:val="uk-UA"/>
        </w:rPr>
        <w:t xml:space="preserve">зростали </w:t>
      </w:r>
      <w:r w:rsidR="0033774B" w:rsidRPr="0033774B">
        <w:rPr>
          <w:lang w:val="uk-UA"/>
        </w:rPr>
        <w:t xml:space="preserve">їхні батьки </w:t>
      </w:r>
      <w:r w:rsidR="0033774B">
        <w:rPr>
          <w:lang w:val="uk-UA"/>
        </w:rPr>
        <w:t>чи піклувальники</w:t>
      </w:r>
      <w:r w:rsidR="0033774B" w:rsidRPr="0033774B">
        <w:rPr>
          <w:lang w:val="uk-UA"/>
        </w:rPr>
        <w:t xml:space="preserve">. Підлітки </w:t>
      </w:r>
      <w:r w:rsidR="0033774B">
        <w:rPr>
          <w:lang w:val="uk-UA"/>
        </w:rPr>
        <w:t xml:space="preserve">піддаються і неминуче зазнають впливу </w:t>
      </w:r>
      <w:r w:rsidR="0033774B" w:rsidRPr="0033774B">
        <w:rPr>
          <w:lang w:val="uk-UA"/>
        </w:rPr>
        <w:t>глобально</w:t>
      </w:r>
      <w:r w:rsidR="0033774B">
        <w:rPr>
          <w:lang w:val="uk-UA"/>
        </w:rPr>
        <w:t xml:space="preserve">го комерційного світу, що позначається на них </w:t>
      </w:r>
      <w:r w:rsidR="0033774B" w:rsidRPr="0033774B">
        <w:rPr>
          <w:lang w:val="uk-UA"/>
        </w:rPr>
        <w:t xml:space="preserve">безпосередньо </w:t>
      </w:r>
      <w:r w:rsidR="0033774B">
        <w:rPr>
          <w:lang w:val="uk-UA"/>
        </w:rPr>
        <w:t>чи</w:t>
      </w:r>
      <w:r w:rsidR="0033774B" w:rsidRPr="0033774B">
        <w:rPr>
          <w:lang w:val="uk-UA"/>
        </w:rPr>
        <w:t xml:space="preserve"> регулюється батьківськими або суспільними цінностями, </w:t>
      </w:r>
      <w:r w:rsidR="0033774B">
        <w:rPr>
          <w:lang w:val="uk-UA"/>
        </w:rPr>
        <w:t>а це може завадити взаєморозумінню поколінь</w:t>
      </w:r>
      <w:r w:rsidR="0033774B" w:rsidRPr="0033774B">
        <w:rPr>
          <w:lang w:val="uk-UA"/>
        </w:rPr>
        <w:t xml:space="preserve">. </w:t>
      </w:r>
      <w:r w:rsidR="000E2E6E">
        <w:rPr>
          <w:lang w:val="uk-UA"/>
        </w:rPr>
        <w:t xml:space="preserve">Такі </w:t>
      </w:r>
      <w:r w:rsidR="0033774B">
        <w:rPr>
          <w:lang w:val="uk-UA"/>
        </w:rPr>
        <w:t xml:space="preserve">умови, що постійно змінюються, ускладнюють завдання батьків і піклувальників </w:t>
      </w:r>
      <w:r w:rsidR="0033774B" w:rsidRPr="0033774B">
        <w:rPr>
          <w:lang w:val="uk-UA"/>
        </w:rPr>
        <w:t xml:space="preserve">ефективно спілкуватися з підлітками, а також давати </w:t>
      </w:r>
      <w:r w:rsidR="0033774B">
        <w:rPr>
          <w:lang w:val="uk-UA"/>
        </w:rPr>
        <w:t>настанови і захищати їх у спосіб, що враховуватиме сьогоднішні реалії</w:t>
      </w:r>
      <w:r w:rsidR="0033774B" w:rsidRPr="0033774B">
        <w:rPr>
          <w:lang w:val="uk-UA"/>
        </w:rPr>
        <w:t xml:space="preserve"> їхн</w:t>
      </w:r>
      <w:r w:rsidR="0033774B">
        <w:rPr>
          <w:lang w:val="uk-UA"/>
        </w:rPr>
        <w:t xml:space="preserve">ього життя. Комітет рекомендує державам проводити </w:t>
      </w:r>
      <w:r w:rsidR="0033774B" w:rsidRPr="0033774B">
        <w:rPr>
          <w:lang w:val="uk-UA"/>
        </w:rPr>
        <w:t xml:space="preserve">дослідження </w:t>
      </w:r>
      <w:r w:rsidR="0033774B">
        <w:rPr>
          <w:lang w:val="uk-UA"/>
        </w:rPr>
        <w:t xml:space="preserve">за участі підлітків, їхніх батьків та опікунів для вивчення природи настанов, допомоги, навчання і підтримки, необхідних для </w:t>
      </w:r>
      <w:r w:rsidR="0033774B" w:rsidRPr="0033774B">
        <w:rPr>
          <w:lang w:val="uk-UA"/>
        </w:rPr>
        <w:t>вирішення проблеми розбіжностей між поколіннями з точки зору їх</w:t>
      </w:r>
      <w:r w:rsidR="00CD5340">
        <w:rPr>
          <w:lang w:val="uk-UA"/>
        </w:rPr>
        <w:t>нього</w:t>
      </w:r>
      <w:r w:rsidR="0033774B" w:rsidRPr="0033774B">
        <w:rPr>
          <w:lang w:val="uk-UA"/>
        </w:rPr>
        <w:t xml:space="preserve"> досвіду</w:t>
      </w:r>
      <w:r w:rsidRPr="0092009E">
        <w:rPr>
          <w:lang w:val="uk-UA"/>
        </w:rPr>
        <w:t>.</w:t>
      </w:r>
    </w:p>
    <w:p w:rsidR="00A007F8" w:rsidRPr="00F16D07" w:rsidRDefault="00A007F8" w:rsidP="0067613A">
      <w:pPr>
        <w:pStyle w:val="H23GR"/>
        <w:rPr>
          <w:lang w:val="uk-UA"/>
        </w:rPr>
      </w:pPr>
      <w:r w:rsidRPr="00A007F8">
        <w:tab/>
      </w:r>
      <w:r w:rsidRPr="00A007F8">
        <w:tab/>
      </w:r>
      <w:r w:rsidRPr="00F16D07">
        <w:rPr>
          <w:lang w:val="uk-UA"/>
        </w:rPr>
        <w:t>П</w:t>
      </w:r>
      <w:r w:rsidR="00F16D07">
        <w:rPr>
          <w:lang w:val="uk-UA"/>
        </w:rPr>
        <w:t>ідлітки в умовах альтернативного догляду</w:t>
      </w:r>
    </w:p>
    <w:p w:rsidR="00A007F8" w:rsidRPr="00F16D07" w:rsidRDefault="00A007F8" w:rsidP="00A007F8">
      <w:pPr>
        <w:pStyle w:val="SingleTxtGR"/>
        <w:rPr>
          <w:lang w:val="uk-UA"/>
        </w:rPr>
      </w:pPr>
      <w:r w:rsidRPr="00F16D07">
        <w:rPr>
          <w:lang w:val="uk-UA"/>
        </w:rPr>
        <w:t>52.</w:t>
      </w:r>
      <w:r w:rsidRPr="00F16D07">
        <w:rPr>
          <w:lang w:val="uk-UA"/>
        </w:rPr>
        <w:tab/>
      </w:r>
      <w:r w:rsidR="00F16D07">
        <w:rPr>
          <w:lang w:val="uk-UA"/>
        </w:rPr>
        <w:t>Наразі існує чимало переконливих свідчень</w:t>
      </w:r>
      <w:r w:rsidR="00F16D07" w:rsidRPr="00F16D07">
        <w:rPr>
          <w:lang w:val="uk-UA"/>
        </w:rPr>
        <w:t xml:space="preserve"> негативних наслідків </w:t>
      </w:r>
      <w:r w:rsidR="00F16D07">
        <w:rPr>
          <w:lang w:val="uk-UA"/>
        </w:rPr>
        <w:t xml:space="preserve">перебування </w:t>
      </w:r>
      <w:r w:rsidR="00F16D07" w:rsidRPr="00F16D07">
        <w:rPr>
          <w:lang w:val="uk-UA"/>
        </w:rPr>
        <w:t xml:space="preserve">підлітків </w:t>
      </w:r>
      <w:r w:rsidR="00F16D07">
        <w:rPr>
          <w:lang w:val="uk-UA"/>
        </w:rPr>
        <w:t xml:space="preserve">у </w:t>
      </w:r>
      <w:r w:rsidR="008A689B">
        <w:rPr>
          <w:lang w:val="uk-UA"/>
        </w:rPr>
        <w:t xml:space="preserve">великих </w:t>
      </w:r>
      <w:r w:rsidR="00F16D07">
        <w:rPr>
          <w:lang w:val="uk-UA"/>
        </w:rPr>
        <w:t xml:space="preserve">інституціях з </w:t>
      </w:r>
      <w:r w:rsidR="00F16D07" w:rsidRPr="00F16D07">
        <w:rPr>
          <w:lang w:val="uk-UA"/>
        </w:rPr>
        <w:t>тривал</w:t>
      </w:r>
      <w:r w:rsidR="00F16D07">
        <w:rPr>
          <w:lang w:val="uk-UA"/>
        </w:rPr>
        <w:t>им утриманням</w:t>
      </w:r>
      <w:r w:rsidR="00F16D07" w:rsidRPr="00F16D07">
        <w:rPr>
          <w:lang w:val="uk-UA"/>
        </w:rPr>
        <w:t>, а також в інш</w:t>
      </w:r>
      <w:r w:rsidR="00F16D07">
        <w:rPr>
          <w:lang w:val="uk-UA"/>
        </w:rPr>
        <w:t xml:space="preserve">их формах </w:t>
      </w:r>
      <w:r w:rsidR="00F16D07" w:rsidRPr="00F16D07">
        <w:rPr>
          <w:lang w:val="uk-UA"/>
        </w:rPr>
        <w:t xml:space="preserve">альтернативного догляду, </w:t>
      </w:r>
      <w:r w:rsidR="00F16D07">
        <w:rPr>
          <w:lang w:val="uk-UA"/>
        </w:rPr>
        <w:t xml:space="preserve">як-от </w:t>
      </w:r>
      <w:r w:rsidR="00F16D07" w:rsidRPr="00F16D07">
        <w:rPr>
          <w:lang w:val="uk-UA"/>
        </w:rPr>
        <w:t xml:space="preserve">виховання </w:t>
      </w:r>
      <w:r w:rsidR="00F16D07">
        <w:rPr>
          <w:lang w:val="uk-UA"/>
        </w:rPr>
        <w:t xml:space="preserve">в прийомних сім’ях чи </w:t>
      </w:r>
      <w:r w:rsidR="00F16D07" w:rsidRPr="00F16D07">
        <w:rPr>
          <w:lang w:val="uk-UA"/>
        </w:rPr>
        <w:t xml:space="preserve">в невеликих групах, хоча </w:t>
      </w:r>
      <w:r w:rsidR="00F16D07">
        <w:rPr>
          <w:lang w:val="uk-UA"/>
        </w:rPr>
        <w:t>останніх це стосується значно менше</w:t>
      </w:r>
      <w:r w:rsidR="00F16D07" w:rsidRPr="00F16D07">
        <w:rPr>
          <w:lang w:val="uk-UA"/>
        </w:rPr>
        <w:t xml:space="preserve">. Для цих підлітків характерні </w:t>
      </w:r>
      <w:r w:rsidR="00F16D07">
        <w:rPr>
          <w:lang w:val="uk-UA"/>
        </w:rPr>
        <w:t xml:space="preserve">нижчі рівні здобуття </w:t>
      </w:r>
      <w:r w:rsidR="00F16D07" w:rsidRPr="00F16D07">
        <w:rPr>
          <w:lang w:val="uk-UA"/>
        </w:rPr>
        <w:t xml:space="preserve">знань, залежність від соціального забезпечення і </w:t>
      </w:r>
      <w:r w:rsidR="00F16D07">
        <w:rPr>
          <w:lang w:val="uk-UA"/>
        </w:rPr>
        <w:t>підвищені ризики безпритульності</w:t>
      </w:r>
      <w:r w:rsidR="00F16D07" w:rsidRPr="00F16D07">
        <w:rPr>
          <w:lang w:val="uk-UA"/>
        </w:rPr>
        <w:t xml:space="preserve">, </w:t>
      </w:r>
      <w:r w:rsidR="00F16D07">
        <w:rPr>
          <w:lang w:val="uk-UA"/>
        </w:rPr>
        <w:t>ув’язнення</w:t>
      </w:r>
      <w:r w:rsidR="00F16D07" w:rsidRPr="00F16D07">
        <w:rPr>
          <w:lang w:val="uk-UA"/>
        </w:rPr>
        <w:t xml:space="preserve">, небажаної вагітності, раннього батьківства, зловживання </w:t>
      </w:r>
      <w:r w:rsidR="00F16D07">
        <w:rPr>
          <w:lang w:val="uk-UA"/>
        </w:rPr>
        <w:t>наркотиками</w:t>
      </w:r>
      <w:r w:rsidR="00F16D07" w:rsidRPr="00F16D07">
        <w:rPr>
          <w:lang w:val="uk-UA"/>
        </w:rPr>
        <w:t xml:space="preserve">, членоушкодження і самогубства. Підлітки </w:t>
      </w:r>
      <w:r w:rsidR="00F16D07">
        <w:rPr>
          <w:lang w:val="uk-UA"/>
        </w:rPr>
        <w:t xml:space="preserve">у формах </w:t>
      </w:r>
      <w:r w:rsidR="00F16D07" w:rsidRPr="00F16D07">
        <w:rPr>
          <w:lang w:val="uk-UA"/>
        </w:rPr>
        <w:t xml:space="preserve">альтернативного догляду, як правило, </w:t>
      </w:r>
      <w:r w:rsidR="00F16D07">
        <w:rPr>
          <w:lang w:val="uk-UA"/>
        </w:rPr>
        <w:t xml:space="preserve">повинні залишити </w:t>
      </w:r>
      <w:r w:rsidR="00F16D07" w:rsidRPr="00F16D07">
        <w:rPr>
          <w:lang w:val="uk-UA"/>
        </w:rPr>
        <w:t>заклад після досягнення ними 16-18 років</w:t>
      </w:r>
      <w:r w:rsidR="00F16D07">
        <w:rPr>
          <w:lang w:val="uk-UA"/>
        </w:rPr>
        <w:t xml:space="preserve">; вони </w:t>
      </w:r>
      <w:r w:rsidR="00F16D07" w:rsidRPr="00F16D07">
        <w:rPr>
          <w:lang w:val="uk-UA"/>
        </w:rPr>
        <w:t xml:space="preserve">є особливо уразливими </w:t>
      </w:r>
      <w:r w:rsidR="00F16D07">
        <w:rPr>
          <w:lang w:val="uk-UA"/>
        </w:rPr>
        <w:t xml:space="preserve">до сексуальних домагань </w:t>
      </w:r>
      <w:r w:rsidR="00F16D07" w:rsidRPr="00F16D07">
        <w:rPr>
          <w:lang w:val="uk-UA"/>
        </w:rPr>
        <w:t xml:space="preserve">і експлуатації, торгівлі людьми та насильства, </w:t>
      </w:r>
      <w:r w:rsidR="00F16D07">
        <w:rPr>
          <w:lang w:val="uk-UA"/>
        </w:rPr>
        <w:t xml:space="preserve">адже </w:t>
      </w:r>
      <w:r w:rsidR="00F16D07" w:rsidRPr="00F16D07">
        <w:rPr>
          <w:lang w:val="uk-UA"/>
        </w:rPr>
        <w:t>вони не охоплені систем</w:t>
      </w:r>
      <w:r w:rsidR="00F16D07">
        <w:rPr>
          <w:lang w:val="uk-UA"/>
        </w:rPr>
        <w:t xml:space="preserve">ами </w:t>
      </w:r>
      <w:r w:rsidR="00F16D07" w:rsidRPr="00F16D07">
        <w:rPr>
          <w:lang w:val="uk-UA"/>
        </w:rPr>
        <w:t>підтримки або захисту і не ма</w:t>
      </w:r>
      <w:r w:rsidR="00F16D07">
        <w:rPr>
          <w:lang w:val="uk-UA"/>
        </w:rPr>
        <w:t xml:space="preserve">ли змоги набути </w:t>
      </w:r>
      <w:r w:rsidR="00F16D07" w:rsidRPr="00F16D07">
        <w:rPr>
          <w:lang w:val="uk-UA"/>
        </w:rPr>
        <w:t>навичок і можливостей для самозахисту. Дітям</w:t>
      </w:r>
      <w:r w:rsidR="00F16D07">
        <w:rPr>
          <w:lang w:val="uk-UA"/>
        </w:rPr>
        <w:t xml:space="preserve"> з інвалідністю </w:t>
      </w:r>
      <w:r w:rsidR="00F16D07" w:rsidRPr="00F16D07">
        <w:rPr>
          <w:lang w:val="uk-UA"/>
        </w:rPr>
        <w:t>часто відмовляють в можливості</w:t>
      </w:r>
      <w:r w:rsidR="008A689B">
        <w:rPr>
          <w:lang w:val="uk-UA"/>
        </w:rPr>
        <w:t xml:space="preserve"> жити в громаді і переводять </w:t>
      </w:r>
      <w:r w:rsidR="00F16D07" w:rsidRPr="00F16D07">
        <w:rPr>
          <w:lang w:val="uk-UA"/>
        </w:rPr>
        <w:t xml:space="preserve">в </w:t>
      </w:r>
      <w:r w:rsidR="008A689B">
        <w:rPr>
          <w:lang w:val="uk-UA"/>
        </w:rPr>
        <w:t xml:space="preserve">інституції </w:t>
      </w:r>
      <w:r w:rsidR="00F16D07" w:rsidRPr="00F16D07">
        <w:rPr>
          <w:lang w:val="uk-UA"/>
        </w:rPr>
        <w:t xml:space="preserve">для дорослих, де вони </w:t>
      </w:r>
      <w:r w:rsidR="00F16D07">
        <w:rPr>
          <w:lang w:val="uk-UA"/>
        </w:rPr>
        <w:t>наражаються на підвищений ризик подальшого порушення своїх прав</w:t>
      </w:r>
      <w:r w:rsidRPr="00F16D07">
        <w:rPr>
          <w:lang w:val="uk-UA"/>
        </w:rPr>
        <w:t>.</w:t>
      </w:r>
    </w:p>
    <w:p w:rsidR="0045776C" w:rsidRDefault="00A007F8" w:rsidP="00A007F8">
      <w:pPr>
        <w:pStyle w:val="SingleTxtGR"/>
        <w:rPr>
          <w:lang w:val="uk-UA"/>
        </w:rPr>
      </w:pPr>
      <w:r w:rsidRPr="00F16D07">
        <w:rPr>
          <w:lang w:val="uk-UA"/>
        </w:rPr>
        <w:lastRenderedPageBreak/>
        <w:t>53.</w:t>
      </w:r>
      <w:r w:rsidRPr="00F16D07">
        <w:rPr>
          <w:lang w:val="uk-UA"/>
        </w:rPr>
        <w:tab/>
      </w:r>
      <w:r w:rsidR="0045776C" w:rsidRPr="0045776C">
        <w:rPr>
          <w:lang w:val="uk-UA"/>
        </w:rPr>
        <w:t xml:space="preserve">Держави повинні взяти на себе </w:t>
      </w:r>
      <w:r w:rsidR="0045776C">
        <w:rPr>
          <w:lang w:val="uk-UA"/>
        </w:rPr>
        <w:t>чіткі зобов’</w:t>
      </w:r>
      <w:r w:rsidR="0045776C" w:rsidRPr="0045776C">
        <w:rPr>
          <w:lang w:val="uk-UA"/>
        </w:rPr>
        <w:t>язання щодо підтримки підлітків в умовах альтернативного догляду і виділяти на це більше коштів. Перева</w:t>
      </w:r>
      <w:r w:rsidR="0045776C">
        <w:rPr>
          <w:lang w:val="uk-UA"/>
        </w:rPr>
        <w:t>га, що віддається прийомним сім’</w:t>
      </w:r>
      <w:r w:rsidR="0045776C" w:rsidRPr="0045776C">
        <w:rPr>
          <w:lang w:val="uk-UA"/>
        </w:rPr>
        <w:t>ям та невеликим будинкам, має доповнюватися заходами</w:t>
      </w:r>
      <w:r w:rsidR="0045776C">
        <w:rPr>
          <w:lang w:val="uk-UA"/>
        </w:rPr>
        <w:t xml:space="preserve"> для боротьби </w:t>
      </w:r>
      <w:r w:rsidR="0045776C" w:rsidRPr="0045776C">
        <w:rPr>
          <w:lang w:val="uk-UA"/>
        </w:rPr>
        <w:t>з дискримінацією, регулярн</w:t>
      </w:r>
      <w:r w:rsidR="0045776C">
        <w:rPr>
          <w:lang w:val="uk-UA"/>
        </w:rPr>
        <w:t xml:space="preserve">им переглядом </w:t>
      </w:r>
      <w:r w:rsidR="0045776C" w:rsidRPr="0045776C">
        <w:rPr>
          <w:lang w:val="uk-UA"/>
        </w:rPr>
        <w:t xml:space="preserve">індивідуальних ситуацій підлітків, </w:t>
      </w:r>
      <w:r w:rsidR="0045776C">
        <w:rPr>
          <w:lang w:val="uk-UA"/>
        </w:rPr>
        <w:t>підтримкою їхньої освіти</w:t>
      </w:r>
      <w:r w:rsidR="0045776C" w:rsidRPr="0045776C">
        <w:rPr>
          <w:lang w:val="uk-UA"/>
        </w:rPr>
        <w:t xml:space="preserve">, наданням їм реального права голосу в процесах, </w:t>
      </w:r>
      <w:r w:rsidR="0045776C">
        <w:rPr>
          <w:lang w:val="uk-UA"/>
        </w:rPr>
        <w:t>що їх торкаються</w:t>
      </w:r>
      <w:r w:rsidR="0045776C" w:rsidRPr="0045776C">
        <w:rPr>
          <w:lang w:val="uk-UA"/>
        </w:rPr>
        <w:t xml:space="preserve">, і недопущенням </w:t>
      </w:r>
      <w:r w:rsidR="0045776C">
        <w:rPr>
          <w:lang w:val="uk-UA"/>
        </w:rPr>
        <w:t xml:space="preserve">численних </w:t>
      </w:r>
      <w:r w:rsidR="0045776C" w:rsidRPr="0045776C">
        <w:rPr>
          <w:lang w:val="uk-UA"/>
        </w:rPr>
        <w:t xml:space="preserve">переміщень. </w:t>
      </w:r>
      <w:r w:rsidR="0045776C">
        <w:rPr>
          <w:lang w:val="uk-UA"/>
        </w:rPr>
        <w:t>Держави повинні прагнути, щоб влаштування дітей в інституції застосовувалося виключно як останній засіб</w:t>
      </w:r>
      <w:r w:rsidR="0045776C" w:rsidRPr="0045776C">
        <w:rPr>
          <w:lang w:val="uk-UA"/>
        </w:rPr>
        <w:t xml:space="preserve">, а також забезпечити належний захист усіх дітей, які </w:t>
      </w:r>
      <w:r w:rsidR="0045776C">
        <w:rPr>
          <w:lang w:val="uk-UA"/>
        </w:rPr>
        <w:t>перебувають в інституціях</w:t>
      </w:r>
      <w:r w:rsidR="0045776C" w:rsidRPr="0045776C">
        <w:rPr>
          <w:lang w:val="uk-UA"/>
        </w:rPr>
        <w:t>, в тому числі шляхом доступу до механізмів подачі конфіденційних скарг і правосуддя. Держа</w:t>
      </w:r>
      <w:r w:rsidR="0045776C">
        <w:rPr>
          <w:lang w:val="uk-UA"/>
        </w:rPr>
        <w:t>ви повинні також вжити заходів для</w:t>
      </w:r>
      <w:r w:rsidR="0045776C" w:rsidRPr="0045776C">
        <w:rPr>
          <w:lang w:val="uk-UA"/>
        </w:rPr>
        <w:t xml:space="preserve"> підтримки незалежності та поліпшення життєвих перспектив підлітків в </w:t>
      </w:r>
      <w:r w:rsidR="0045776C">
        <w:rPr>
          <w:lang w:val="uk-UA"/>
        </w:rPr>
        <w:t xml:space="preserve">умовах альтернативного </w:t>
      </w:r>
      <w:r w:rsidR="0045776C" w:rsidRPr="0045776C">
        <w:rPr>
          <w:lang w:val="uk-UA"/>
        </w:rPr>
        <w:t xml:space="preserve">догляду та усунення специфічних </w:t>
      </w:r>
      <w:r w:rsidR="0045776C">
        <w:rPr>
          <w:lang w:val="uk-UA"/>
        </w:rPr>
        <w:t xml:space="preserve">чинників </w:t>
      </w:r>
      <w:r w:rsidR="0045776C" w:rsidRPr="0045776C">
        <w:rPr>
          <w:lang w:val="uk-UA"/>
        </w:rPr>
        <w:t>уразливості і незахищеності, з якими вони стикаються</w:t>
      </w:r>
      <w:r w:rsidR="0045776C">
        <w:rPr>
          <w:lang w:val="uk-UA"/>
        </w:rPr>
        <w:t xml:space="preserve"> </w:t>
      </w:r>
      <w:r w:rsidR="0051279B">
        <w:rPr>
          <w:lang w:val="uk-UA"/>
        </w:rPr>
        <w:t xml:space="preserve">з </w:t>
      </w:r>
      <w:r w:rsidR="0013393B">
        <w:rPr>
          <w:lang w:val="uk-UA"/>
        </w:rPr>
        <w:t>віком</w:t>
      </w:r>
      <w:r w:rsidR="0045776C">
        <w:rPr>
          <w:lang w:val="uk-UA"/>
        </w:rPr>
        <w:t xml:space="preserve">, коли настає час залишати </w:t>
      </w:r>
      <w:r w:rsidR="00881B62">
        <w:rPr>
          <w:lang w:val="uk-UA"/>
        </w:rPr>
        <w:t xml:space="preserve">такі </w:t>
      </w:r>
      <w:r w:rsidR="0045776C">
        <w:rPr>
          <w:lang w:val="uk-UA"/>
        </w:rPr>
        <w:t>форми догляду.</w:t>
      </w:r>
    </w:p>
    <w:p w:rsidR="00A007F8" w:rsidRPr="00F16D07" w:rsidRDefault="00A007F8" w:rsidP="00007DAA">
      <w:pPr>
        <w:pStyle w:val="SingleTxtGR"/>
        <w:rPr>
          <w:lang w:val="uk-UA"/>
        </w:rPr>
      </w:pPr>
      <w:r w:rsidRPr="00F16D07">
        <w:rPr>
          <w:lang w:val="uk-UA"/>
        </w:rPr>
        <w:t>54.</w:t>
      </w:r>
      <w:r w:rsidRPr="00F16D07">
        <w:rPr>
          <w:lang w:val="uk-UA"/>
        </w:rPr>
        <w:tab/>
      </w:r>
      <w:r w:rsidR="00007DAA" w:rsidRPr="00007DAA">
        <w:rPr>
          <w:lang w:val="uk-UA"/>
        </w:rPr>
        <w:t xml:space="preserve">Підліткам, які залишають систему альтернативного догляду, необхідна підтримка </w:t>
      </w:r>
      <w:r w:rsidR="00007DAA">
        <w:rPr>
          <w:lang w:val="uk-UA"/>
        </w:rPr>
        <w:t xml:space="preserve">у </w:t>
      </w:r>
      <w:r w:rsidR="00007DAA" w:rsidRPr="00007DAA">
        <w:rPr>
          <w:lang w:val="uk-UA"/>
        </w:rPr>
        <w:t>підготов</w:t>
      </w:r>
      <w:r w:rsidR="00007DAA">
        <w:rPr>
          <w:lang w:val="uk-UA"/>
        </w:rPr>
        <w:t>ці до переходу</w:t>
      </w:r>
      <w:r w:rsidR="00C4067E">
        <w:rPr>
          <w:lang w:val="uk-UA"/>
        </w:rPr>
        <w:t xml:space="preserve"> до самостійного життя</w:t>
      </w:r>
      <w:r w:rsidR="00007DAA">
        <w:rPr>
          <w:lang w:val="uk-UA"/>
        </w:rPr>
        <w:t xml:space="preserve">, допомога з </w:t>
      </w:r>
      <w:r w:rsidR="00007DAA" w:rsidRPr="00007DAA">
        <w:rPr>
          <w:lang w:val="uk-UA"/>
        </w:rPr>
        <w:t>працевлаштування</w:t>
      </w:r>
      <w:r w:rsidR="00007DAA">
        <w:rPr>
          <w:lang w:val="uk-UA"/>
        </w:rPr>
        <w:t>м</w:t>
      </w:r>
      <w:r w:rsidR="00007DAA" w:rsidRPr="00007DAA">
        <w:rPr>
          <w:lang w:val="uk-UA"/>
        </w:rPr>
        <w:t xml:space="preserve"> і житл</w:t>
      </w:r>
      <w:r w:rsidR="00007DAA">
        <w:rPr>
          <w:lang w:val="uk-UA"/>
        </w:rPr>
        <w:t xml:space="preserve">ом, а також </w:t>
      </w:r>
      <w:r w:rsidR="00007DAA" w:rsidRPr="00007DAA">
        <w:rPr>
          <w:lang w:val="uk-UA"/>
        </w:rPr>
        <w:t>психологічна підтримка, участь в прогр</w:t>
      </w:r>
      <w:r w:rsidR="00007DAA">
        <w:rPr>
          <w:lang w:val="uk-UA"/>
        </w:rPr>
        <w:t>амах реабілітації зі своїми сім’</w:t>
      </w:r>
      <w:r w:rsidR="00007DAA" w:rsidRPr="00007DAA">
        <w:rPr>
          <w:lang w:val="uk-UA"/>
        </w:rPr>
        <w:t>ями, коли це відповідає їх</w:t>
      </w:r>
      <w:r w:rsidR="00007DAA">
        <w:rPr>
          <w:lang w:val="uk-UA"/>
        </w:rPr>
        <w:t>нім</w:t>
      </w:r>
      <w:r w:rsidR="00007DAA" w:rsidRPr="00007DAA">
        <w:rPr>
          <w:lang w:val="uk-UA"/>
        </w:rPr>
        <w:t xml:space="preserve"> найкращим інтересам, і отримання доступу до </w:t>
      </w:r>
      <w:r w:rsidR="00007DAA">
        <w:rPr>
          <w:lang w:val="uk-UA"/>
        </w:rPr>
        <w:t>послуг після виходу з системи відповідно до К</w:t>
      </w:r>
      <w:r w:rsidR="00007DAA" w:rsidRPr="00007DAA">
        <w:rPr>
          <w:lang w:val="uk-UA"/>
        </w:rPr>
        <w:t>ерівни</w:t>
      </w:r>
      <w:r w:rsidR="00007DAA">
        <w:rPr>
          <w:lang w:val="uk-UA"/>
        </w:rPr>
        <w:t xml:space="preserve">х принципів щодо </w:t>
      </w:r>
      <w:r w:rsidR="00007DAA" w:rsidRPr="00007DAA">
        <w:rPr>
          <w:lang w:val="uk-UA"/>
        </w:rPr>
        <w:t>альтернативно</w:t>
      </w:r>
      <w:r w:rsidR="00007DAA">
        <w:rPr>
          <w:lang w:val="uk-UA"/>
        </w:rPr>
        <w:t>го</w:t>
      </w:r>
      <w:r w:rsidR="00007DAA" w:rsidRPr="00007DAA">
        <w:rPr>
          <w:lang w:val="uk-UA"/>
        </w:rPr>
        <w:t xml:space="preserve"> догляду за дітьми</w:t>
      </w:r>
      <w:r w:rsidRPr="00F16D07">
        <w:rPr>
          <w:sz w:val="18"/>
          <w:vertAlign w:val="superscript"/>
          <w:lang w:val="uk-UA"/>
        </w:rPr>
        <w:footnoteReference w:id="25"/>
      </w:r>
      <w:r w:rsidRPr="00F16D07">
        <w:rPr>
          <w:lang w:val="uk-UA"/>
        </w:rPr>
        <w:t>.</w:t>
      </w:r>
    </w:p>
    <w:p w:rsidR="00A007F8" w:rsidRPr="00C4067E" w:rsidRDefault="00A007F8" w:rsidP="0067613A">
      <w:pPr>
        <w:pStyle w:val="H23GR"/>
        <w:rPr>
          <w:lang w:val="uk-UA"/>
        </w:rPr>
      </w:pPr>
      <w:r w:rsidRPr="00A007F8">
        <w:tab/>
      </w:r>
      <w:r w:rsidRPr="00A007F8">
        <w:tab/>
      </w:r>
      <w:r w:rsidR="00C4067E">
        <w:rPr>
          <w:lang w:val="uk-UA"/>
        </w:rPr>
        <w:t>Сім’ї, що їх очолюють підлітки</w:t>
      </w:r>
    </w:p>
    <w:p w:rsidR="00543B43" w:rsidRDefault="00A007F8" w:rsidP="00A007F8">
      <w:pPr>
        <w:pStyle w:val="SingleTxtGR"/>
        <w:rPr>
          <w:lang w:val="uk-UA"/>
        </w:rPr>
      </w:pPr>
      <w:r w:rsidRPr="00C4067E">
        <w:rPr>
          <w:lang w:val="uk-UA"/>
        </w:rPr>
        <w:t>55.</w:t>
      </w:r>
      <w:r w:rsidRPr="00C4067E">
        <w:rPr>
          <w:lang w:val="uk-UA"/>
        </w:rPr>
        <w:tab/>
      </w:r>
      <w:r w:rsidR="00543B43">
        <w:rPr>
          <w:lang w:val="uk-UA"/>
        </w:rPr>
        <w:t xml:space="preserve">Чимало підлітків виконують роль основних годувальників для своїх родин тому, що </w:t>
      </w:r>
      <w:r w:rsidR="00543B43" w:rsidRPr="00543B43">
        <w:rPr>
          <w:lang w:val="uk-UA"/>
        </w:rPr>
        <w:t xml:space="preserve">самі є батьками, або </w:t>
      </w:r>
      <w:r w:rsidR="00543B43">
        <w:rPr>
          <w:lang w:val="uk-UA"/>
        </w:rPr>
        <w:t>через те</w:t>
      </w:r>
      <w:r w:rsidR="00543B43" w:rsidRPr="00543B43">
        <w:rPr>
          <w:lang w:val="uk-UA"/>
        </w:rPr>
        <w:t>, що їх</w:t>
      </w:r>
      <w:r w:rsidR="00543B43">
        <w:rPr>
          <w:lang w:val="uk-UA"/>
        </w:rPr>
        <w:t>ні</w:t>
      </w:r>
      <w:r w:rsidR="00543B43" w:rsidRPr="00543B43">
        <w:rPr>
          <w:lang w:val="uk-UA"/>
        </w:rPr>
        <w:t xml:space="preserve"> батьки померли, </w:t>
      </w:r>
      <w:r w:rsidR="00543B43">
        <w:rPr>
          <w:lang w:val="uk-UA"/>
        </w:rPr>
        <w:t xml:space="preserve">зникли чи </w:t>
      </w:r>
      <w:r w:rsidR="00543B43" w:rsidRPr="00543B43">
        <w:rPr>
          <w:lang w:val="uk-UA"/>
        </w:rPr>
        <w:t>відсутні. Статті 24 і 27 Конвенції вимагають, щоб підлітк</w:t>
      </w:r>
      <w:r w:rsidR="00543B43">
        <w:rPr>
          <w:lang w:val="uk-UA"/>
        </w:rPr>
        <w:t xml:space="preserve">и, </w:t>
      </w:r>
      <w:r w:rsidR="00543B43" w:rsidRPr="00543B43">
        <w:rPr>
          <w:lang w:val="uk-UA"/>
        </w:rPr>
        <w:t xml:space="preserve">які є батьками та </w:t>
      </w:r>
      <w:r w:rsidR="00543B43">
        <w:rPr>
          <w:lang w:val="uk-UA"/>
        </w:rPr>
        <w:t>піклувальниками, забезпечувалися базовою інформацією про здоров’</w:t>
      </w:r>
      <w:r w:rsidR="00543B43" w:rsidRPr="00543B43">
        <w:rPr>
          <w:lang w:val="uk-UA"/>
        </w:rPr>
        <w:t xml:space="preserve">я </w:t>
      </w:r>
      <w:r w:rsidR="00543B43">
        <w:rPr>
          <w:lang w:val="uk-UA"/>
        </w:rPr>
        <w:t>і харчування дітей та</w:t>
      </w:r>
      <w:r w:rsidR="00543B43" w:rsidRPr="00543B43">
        <w:rPr>
          <w:lang w:val="uk-UA"/>
        </w:rPr>
        <w:t xml:space="preserve"> </w:t>
      </w:r>
      <w:r w:rsidR="00543B43">
        <w:rPr>
          <w:lang w:val="uk-UA"/>
        </w:rPr>
        <w:t xml:space="preserve">переваги грудного вигодовування, а також отримували відповідну підтримку для виконання своїх обов’язків стосовно </w:t>
      </w:r>
      <w:r w:rsidR="00543B43" w:rsidRPr="00543B43">
        <w:rPr>
          <w:lang w:val="uk-UA"/>
        </w:rPr>
        <w:t>дітей, за яких во</w:t>
      </w:r>
      <w:r w:rsidR="00543B43">
        <w:rPr>
          <w:lang w:val="uk-UA"/>
        </w:rPr>
        <w:t>ни несуть відповідальність, і</w:t>
      </w:r>
      <w:r w:rsidR="00543B43" w:rsidRPr="00543B43">
        <w:rPr>
          <w:lang w:val="uk-UA"/>
        </w:rPr>
        <w:t xml:space="preserve"> в разі необхідності</w:t>
      </w:r>
      <w:r w:rsidR="00543B43">
        <w:rPr>
          <w:lang w:val="uk-UA"/>
        </w:rPr>
        <w:t xml:space="preserve"> – одержували матеріальну допомогу у</w:t>
      </w:r>
      <w:r w:rsidR="00543B43" w:rsidRPr="00543B43">
        <w:rPr>
          <w:lang w:val="uk-UA"/>
        </w:rPr>
        <w:t xml:space="preserve"> забезпеченні харчуванням, одягом і житлом. Підліткам-</w:t>
      </w:r>
      <w:r w:rsidR="00543B43">
        <w:rPr>
          <w:lang w:val="uk-UA"/>
        </w:rPr>
        <w:t xml:space="preserve">піклувальникам потрібна </w:t>
      </w:r>
      <w:r w:rsidR="00543B43" w:rsidRPr="00543B43">
        <w:rPr>
          <w:lang w:val="uk-UA"/>
        </w:rPr>
        <w:t xml:space="preserve">додаткова підтримка, щоб вони могли </w:t>
      </w:r>
      <w:r w:rsidR="00543B43">
        <w:rPr>
          <w:lang w:val="uk-UA"/>
        </w:rPr>
        <w:t xml:space="preserve">реалізовувати </w:t>
      </w:r>
      <w:r w:rsidR="00543B43" w:rsidRPr="00543B43">
        <w:rPr>
          <w:lang w:val="uk-UA"/>
        </w:rPr>
        <w:t xml:space="preserve">свої права на освіту, </w:t>
      </w:r>
      <w:r w:rsidR="00543B43">
        <w:rPr>
          <w:lang w:val="uk-UA"/>
        </w:rPr>
        <w:t xml:space="preserve">на ігри та на </w:t>
      </w:r>
      <w:r w:rsidR="00543B43" w:rsidRPr="00543B43">
        <w:rPr>
          <w:lang w:val="uk-UA"/>
        </w:rPr>
        <w:t xml:space="preserve">участь. Зокрема, </w:t>
      </w:r>
      <w:r w:rsidR="00543B43">
        <w:rPr>
          <w:lang w:val="uk-UA"/>
        </w:rPr>
        <w:t xml:space="preserve">державам </w:t>
      </w:r>
      <w:r w:rsidR="00543B43" w:rsidRPr="00543B43">
        <w:rPr>
          <w:lang w:val="uk-UA"/>
        </w:rPr>
        <w:t xml:space="preserve">слід </w:t>
      </w:r>
      <w:r w:rsidR="00543B43">
        <w:rPr>
          <w:lang w:val="uk-UA"/>
        </w:rPr>
        <w:t xml:space="preserve">запровадити втручання </w:t>
      </w:r>
      <w:r w:rsidR="00543B43" w:rsidRPr="00543B43">
        <w:rPr>
          <w:lang w:val="uk-UA"/>
        </w:rPr>
        <w:t xml:space="preserve">соціального захисту на ключових етапах життєвого циклу і </w:t>
      </w:r>
      <w:r w:rsidR="00543B43">
        <w:rPr>
          <w:lang w:val="uk-UA"/>
        </w:rPr>
        <w:t xml:space="preserve">належним чином реагувати на конкретні потреби </w:t>
      </w:r>
      <w:r w:rsidR="00543B43" w:rsidRPr="00543B43">
        <w:rPr>
          <w:lang w:val="uk-UA"/>
        </w:rPr>
        <w:t>підлітків-</w:t>
      </w:r>
      <w:r w:rsidR="00543B43">
        <w:rPr>
          <w:lang w:val="uk-UA"/>
        </w:rPr>
        <w:t>піклувальників.</w:t>
      </w:r>
    </w:p>
    <w:p w:rsidR="00A007F8" w:rsidRPr="00C4067E" w:rsidRDefault="00A007F8" w:rsidP="0067613A">
      <w:pPr>
        <w:pStyle w:val="HChGR"/>
        <w:rPr>
          <w:lang w:val="uk-UA"/>
        </w:rPr>
      </w:pPr>
      <w:r w:rsidRPr="00C4067E">
        <w:rPr>
          <w:lang w:val="uk-UA"/>
        </w:rPr>
        <w:tab/>
        <w:t>XI.</w:t>
      </w:r>
      <w:r w:rsidRPr="00C4067E">
        <w:rPr>
          <w:lang w:val="uk-UA"/>
        </w:rPr>
        <w:tab/>
        <w:t>Базов</w:t>
      </w:r>
      <w:r w:rsidR="00543B43">
        <w:rPr>
          <w:lang w:val="uk-UA"/>
        </w:rPr>
        <w:t>і медичні послуги та соціальне забезпечення</w:t>
      </w:r>
      <w:bookmarkStart w:id="14" w:name="_Toc468797246"/>
      <w:bookmarkEnd w:id="14"/>
    </w:p>
    <w:p w:rsidR="00A007F8" w:rsidRPr="00C4067E" w:rsidRDefault="00A007F8" w:rsidP="0067613A">
      <w:pPr>
        <w:pStyle w:val="H23GR"/>
        <w:rPr>
          <w:lang w:val="uk-UA"/>
        </w:rPr>
      </w:pPr>
      <w:r w:rsidRPr="00C4067E">
        <w:rPr>
          <w:lang w:val="uk-UA"/>
        </w:rPr>
        <w:tab/>
      </w:r>
      <w:r w:rsidRPr="00C4067E">
        <w:rPr>
          <w:lang w:val="uk-UA"/>
        </w:rPr>
        <w:tab/>
        <w:t>Ох</w:t>
      </w:r>
      <w:r w:rsidR="00543B43">
        <w:rPr>
          <w:lang w:val="uk-UA"/>
        </w:rPr>
        <w:t>орона здоров’я</w:t>
      </w:r>
    </w:p>
    <w:p w:rsidR="00A007F8" w:rsidRPr="00C4067E" w:rsidRDefault="00A007F8" w:rsidP="00A007F8">
      <w:pPr>
        <w:pStyle w:val="SingleTxtGR"/>
        <w:rPr>
          <w:lang w:val="uk-UA"/>
        </w:rPr>
      </w:pPr>
      <w:r w:rsidRPr="00C4067E">
        <w:rPr>
          <w:lang w:val="uk-UA"/>
        </w:rPr>
        <w:t>56.</w:t>
      </w:r>
      <w:r w:rsidRPr="00C4067E">
        <w:rPr>
          <w:lang w:val="uk-UA"/>
        </w:rPr>
        <w:tab/>
      </w:r>
      <w:r w:rsidR="00543B43" w:rsidRPr="00543B43">
        <w:rPr>
          <w:lang w:val="uk-UA"/>
        </w:rPr>
        <w:t xml:space="preserve">Послуги </w:t>
      </w:r>
      <w:r w:rsidR="00543B43">
        <w:rPr>
          <w:lang w:val="uk-UA"/>
        </w:rPr>
        <w:t>з охорони здоров’</w:t>
      </w:r>
      <w:r w:rsidR="00543B43" w:rsidRPr="00543B43">
        <w:rPr>
          <w:lang w:val="uk-UA"/>
        </w:rPr>
        <w:t xml:space="preserve">я </w:t>
      </w:r>
      <w:r w:rsidR="00543B43">
        <w:rPr>
          <w:lang w:val="uk-UA"/>
        </w:rPr>
        <w:t xml:space="preserve">нечасто створюють з урахуванням </w:t>
      </w:r>
      <w:r w:rsidR="00543B43" w:rsidRPr="00543B43">
        <w:rPr>
          <w:lang w:val="uk-UA"/>
        </w:rPr>
        <w:t xml:space="preserve">особливих </w:t>
      </w:r>
      <w:r w:rsidR="00543B43">
        <w:rPr>
          <w:lang w:val="uk-UA"/>
        </w:rPr>
        <w:t xml:space="preserve">медичних </w:t>
      </w:r>
      <w:r w:rsidR="00543B43" w:rsidRPr="00543B43">
        <w:rPr>
          <w:lang w:val="uk-UA"/>
        </w:rPr>
        <w:t xml:space="preserve">потреб підлітків, і ця проблема ускладнюється </w:t>
      </w:r>
      <w:r w:rsidR="00543B43">
        <w:rPr>
          <w:lang w:val="uk-UA"/>
        </w:rPr>
        <w:t xml:space="preserve">браком </w:t>
      </w:r>
      <w:r w:rsidR="00543B43" w:rsidRPr="00543B43">
        <w:rPr>
          <w:lang w:val="uk-UA"/>
        </w:rPr>
        <w:t>демографічних та епідеміологічних даних і статистики</w:t>
      </w:r>
      <w:r w:rsidR="00543B43">
        <w:rPr>
          <w:lang w:val="uk-UA"/>
        </w:rPr>
        <w:t>, деталізованої за віком, статтю та інвалідністю</w:t>
      </w:r>
      <w:r w:rsidR="00543B43" w:rsidRPr="00543B43">
        <w:rPr>
          <w:lang w:val="uk-UA"/>
        </w:rPr>
        <w:t xml:space="preserve">. Коли підлітки звертаються за допомогою, вони </w:t>
      </w:r>
      <w:r w:rsidR="00543B43">
        <w:rPr>
          <w:lang w:val="uk-UA"/>
        </w:rPr>
        <w:t xml:space="preserve">повсякчас </w:t>
      </w:r>
      <w:r w:rsidR="00543B43" w:rsidRPr="00543B43">
        <w:rPr>
          <w:lang w:val="uk-UA"/>
        </w:rPr>
        <w:t xml:space="preserve">стикаються з </w:t>
      </w:r>
      <w:r w:rsidR="00543B43">
        <w:rPr>
          <w:lang w:val="uk-UA"/>
        </w:rPr>
        <w:t>перешкодами правового і фінансового характеру</w:t>
      </w:r>
      <w:r w:rsidR="00543B43" w:rsidRPr="00543B43">
        <w:rPr>
          <w:lang w:val="uk-UA"/>
        </w:rPr>
        <w:t xml:space="preserve">, </w:t>
      </w:r>
      <w:r w:rsidR="00543B43">
        <w:rPr>
          <w:lang w:val="uk-UA"/>
        </w:rPr>
        <w:t xml:space="preserve">з </w:t>
      </w:r>
      <w:r w:rsidR="00543B43" w:rsidRPr="00543B43">
        <w:rPr>
          <w:lang w:val="uk-UA"/>
        </w:rPr>
        <w:t xml:space="preserve">дискримінацією, відсутністю конфіденційності і поваги, насильством і </w:t>
      </w:r>
      <w:r w:rsidR="00543B43">
        <w:rPr>
          <w:lang w:val="uk-UA"/>
        </w:rPr>
        <w:t xml:space="preserve">зловживаннями, стигмою та упередженим </w:t>
      </w:r>
      <w:r w:rsidR="00543B43" w:rsidRPr="00543B43">
        <w:rPr>
          <w:lang w:val="uk-UA"/>
        </w:rPr>
        <w:t>ставленням з боку медичного персоналу</w:t>
      </w:r>
      <w:r w:rsidRPr="00C4067E">
        <w:rPr>
          <w:lang w:val="uk-UA"/>
        </w:rPr>
        <w:t>.</w:t>
      </w:r>
    </w:p>
    <w:p w:rsidR="00543B43" w:rsidRDefault="00A007F8" w:rsidP="00A007F8">
      <w:pPr>
        <w:pStyle w:val="SingleTxtGR"/>
        <w:rPr>
          <w:lang w:val="uk-UA"/>
        </w:rPr>
      </w:pPr>
      <w:r w:rsidRPr="00C4067E">
        <w:rPr>
          <w:lang w:val="uk-UA"/>
        </w:rPr>
        <w:lastRenderedPageBreak/>
        <w:t>57.</w:t>
      </w:r>
      <w:r w:rsidRPr="00C4067E">
        <w:rPr>
          <w:lang w:val="uk-UA"/>
        </w:rPr>
        <w:tab/>
      </w:r>
      <w:r w:rsidR="00543B43">
        <w:rPr>
          <w:lang w:val="uk-UA"/>
        </w:rPr>
        <w:t xml:space="preserve">Показники здоров’я підлітків є здебільшого наслідком </w:t>
      </w:r>
      <w:r w:rsidR="00543B43" w:rsidRPr="00543B43">
        <w:rPr>
          <w:lang w:val="uk-UA"/>
        </w:rPr>
        <w:t>соціальн</w:t>
      </w:r>
      <w:r w:rsidR="00543B43">
        <w:rPr>
          <w:lang w:val="uk-UA"/>
        </w:rPr>
        <w:t xml:space="preserve">о- </w:t>
      </w:r>
      <w:r w:rsidR="00543B43" w:rsidRPr="00543B43">
        <w:rPr>
          <w:lang w:val="uk-UA"/>
        </w:rPr>
        <w:t xml:space="preserve">економічних </w:t>
      </w:r>
      <w:r w:rsidR="00543B43">
        <w:rPr>
          <w:lang w:val="uk-UA"/>
        </w:rPr>
        <w:t xml:space="preserve">чинників </w:t>
      </w:r>
      <w:r w:rsidR="00543B43" w:rsidRPr="00543B43">
        <w:rPr>
          <w:lang w:val="uk-UA"/>
        </w:rPr>
        <w:t xml:space="preserve">і структурної нерівності, до яких </w:t>
      </w:r>
      <w:r w:rsidR="00543B43">
        <w:rPr>
          <w:lang w:val="uk-UA"/>
        </w:rPr>
        <w:t xml:space="preserve">додається поведінка та діяльність </w:t>
      </w:r>
      <w:r w:rsidR="00543B43" w:rsidRPr="00543B43">
        <w:rPr>
          <w:lang w:val="uk-UA"/>
        </w:rPr>
        <w:t xml:space="preserve">на особистому </w:t>
      </w:r>
      <w:r w:rsidR="00543B43">
        <w:rPr>
          <w:lang w:val="uk-UA"/>
        </w:rPr>
        <w:t>рівні, на рівні однолітків, сім’</w:t>
      </w:r>
      <w:r w:rsidR="00543B43" w:rsidRPr="00543B43">
        <w:rPr>
          <w:lang w:val="uk-UA"/>
        </w:rPr>
        <w:t>ї, школи, громади та суспільства. Відп</w:t>
      </w:r>
      <w:r w:rsidR="00543B43">
        <w:rPr>
          <w:lang w:val="uk-UA"/>
        </w:rPr>
        <w:t xml:space="preserve">овідно, державам-учасницям </w:t>
      </w:r>
      <w:r w:rsidR="00543B43" w:rsidRPr="00543B43">
        <w:rPr>
          <w:lang w:val="uk-UA"/>
        </w:rPr>
        <w:t xml:space="preserve">у співпраці з підлітками та за участю багатьох зацікавлених сторін </w:t>
      </w:r>
      <w:r w:rsidR="00543B43">
        <w:rPr>
          <w:lang w:val="uk-UA"/>
        </w:rPr>
        <w:t xml:space="preserve">необхідно здійснити всебічний </w:t>
      </w:r>
      <w:r w:rsidR="00543B43" w:rsidRPr="00543B43">
        <w:rPr>
          <w:lang w:val="uk-UA"/>
        </w:rPr>
        <w:t xml:space="preserve">огляд </w:t>
      </w:r>
      <w:r w:rsidR="00543B43">
        <w:rPr>
          <w:lang w:val="uk-UA"/>
        </w:rPr>
        <w:t xml:space="preserve">суті та </w:t>
      </w:r>
      <w:r w:rsidR="00543B43" w:rsidRPr="00543B43">
        <w:rPr>
          <w:lang w:val="uk-UA"/>
        </w:rPr>
        <w:t>масштабі</w:t>
      </w:r>
      <w:r w:rsidR="00543B43">
        <w:rPr>
          <w:lang w:val="uk-UA"/>
        </w:rPr>
        <w:t>в проблем, що стосуються здоров’</w:t>
      </w:r>
      <w:r w:rsidR="00543B43" w:rsidRPr="00543B43">
        <w:rPr>
          <w:lang w:val="uk-UA"/>
        </w:rPr>
        <w:t xml:space="preserve">я підлітків, </w:t>
      </w:r>
      <w:r w:rsidR="00543B43">
        <w:rPr>
          <w:lang w:val="uk-UA"/>
        </w:rPr>
        <w:t xml:space="preserve">а також </w:t>
      </w:r>
      <w:r w:rsidR="00543B43" w:rsidRPr="00543B43">
        <w:rPr>
          <w:lang w:val="uk-UA"/>
        </w:rPr>
        <w:t xml:space="preserve">перешкод, з якими вони стикаються в отриманні доступу до послуг, </w:t>
      </w:r>
      <w:r w:rsidR="00543B43">
        <w:rPr>
          <w:lang w:val="uk-UA"/>
        </w:rPr>
        <w:t>що ляже в основу майбутньої комплексної політики</w:t>
      </w:r>
      <w:r w:rsidR="00543B43" w:rsidRPr="00543B43">
        <w:rPr>
          <w:lang w:val="uk-UA"/>
        </w:rPr>
        <w:t xml:space="preserve">, програм і </w:t>
      </w:r>
      <w:r w:rsidR="00543B43">
        <w:rPr>
          <w:lang w:val="uk-UA"/>
        </w:rPr>
        <w:t>стратегій охорони громадського здоров’</w:t>
      </w:r>
      <w:r w:rsidR="00543B43" w:rsidRPr="00543B43">
        <w:rPr>
          <w:lang w:val="uk-UA"/>
        </w:rPr>
        <w:t>я</w:t>
      </w:r>
      <w:r w:rsidR="00543B43">
        <w:rPr>
          <w:lang w:val="uk-UA"/>
        </w:rPr>
        <w:t xml:space="preserve"> </w:t>
      </w:r>
    </w:p>
    <w:p w:rsidR="00A007F8" w:rsidRPr="00C4067E" w:rsidRDefault="00A007F8" w:rsidP="00A007F8">
      <w:pPr>
        <w:pStyle w:val="SingleTxtGR"/>
        <w:rPr>
          <w:lang w:val="uk-UA"/>
        </w:rPr>
      </w:pPr>
      <w:r w:rsidRPr="00C4067E">
        <w:rPr>
          <w:lang w:val="uk-UA"/>
        </w:rPr>
        <w:t>58.</w:t>
      </w:r>
      <w:r w:rsidRPr="00C4067E">
        <w:rPr>
          <w:lang w:val="uk-UA"/>
        </w:rPr>
        <w:tab/>
      </w:r>
      <w:r w:rsidR="00543B43" w:rsidRPr="00543B43">
        <w:rPr>
          <w:lang w:val="uk-UA"/>
        </w:rPr>
        <w:t>Психічн</w:t>
      </w:r>
      <w:r w:rsidR="00543B43">
        <w:rPr>
          <w:lang w:val="uk-UA"/>
        </w:rPr>
        <w:t xml:space="preserve">ий стан </w:t>
      </w:r>
      <w:r w:rsidR="000A5F62">
        <w:rPr>
          <w:lang w:val="uk-UA"/>
        </w:rPr>
        <w:t>і</w:t>
      </w:r>
      <w:r w:rsidR="00543B43" w:rsidRPr="00543B43">
        <w:rPr>
          <w:lang w:val="uk-UA"/>
        </w:rPr>
        <w:t xml:space="preserve"> психосоціальні проблеми, як</w:t>
      </w:r>
      <w:r w:rsidR="000A5F62">
        <w:rPr>
          <w:lang w:val="uk-UA"/>
        </w:rPr>
        <w:t>-от</w:t>
      </w:r>
      <w:r w:rsidR="00543B43" w:rsidRPr="00543B43">
        <w:rPr>
          <w:lang w:val="uk-UA"/>
        </w:rPr>
        <w:t xml:space="preserve"> самогубства, членоушкодження, розлади</w:t>
      </w:r>
      <w:r w:rsidR="00543B43">
        <w:rPr>
          <w:lang w:val="uk-UA"/>
        </w:rPr>
        <w:t xml:space="preserve"> харчування</w:t>
      </w:r>
      <w:r w:rsidR="00543B43" w:rsidRPr="00543B43">
        <w:rPr>
          <w:lang w:val="uk-UA"/>
        </w:rPr>
        <w:t xml:space="preserve"> і депресії, є </w:t>
      </w:r>
      <w:r w:rsidR="00543B43">
        <w:rPr>
          <w:lang w:val="uk-UA"/>
        </w:rPr>
        <w:t>головними причинами погіршення здоров’</w:t>
      </w:r>
      <w:r w:rsidR="00543B43" w:rsidRPr="00543B43">
        <w:rPr>
          <w:lang w:val="uk-UA"/>
        </w:rPr>
        <w:t xml:space="preserve">я, захворюваності та смертності серед підлітків, особливо серед </w:t>
      </w:r>
      <w:r w:rsidR="00543B43">
        <w:rPr>
          <w:lang w:val="uk-UA"/>
        </w:rPr>
        <w:t xml:space="preserve">тих, хто належить </w:t>
      </w:r>
      <w:r w:rsidR="00543B43" w:rsidRPr="00543B43">
        <w:rPr>
          <w:lang w:val="uk-UA"/>
        </w:rPr>
        <w:t>до уразливих груп</w:t>
      </w:r>
      <w:r w:rsidR="00543B43" w:rsidRPr="00C4067E">
        <w:rPr>
          <w:sz w:val="18"/>
          <w:vertAlign w:val="superscript"/>
          <w:lang w:val="uk-UA"/>
        </w:rPr>
        <w:footnoteReference w:id="26"/>
      </w:r>
      <w:r w:rsidR="00543B43" w:rsidRPr="00543B43">
        <w:rPr>
          <w:lang w:val="uk-UA"/>
        </w:rPr>
        <w:t xml:space="preserve">. </w:t>
      </w:r>
      <w:r w:rsidR="000A5F62">
        <w:rPr>
          <w:lang w:val="uk-UA"/>
        </w:rPr>
        <w:t xml:space="preserve">Ці </w:t>
      </w:r>
      <w:r w:rsidR="00543B43" w:rsidRPr="00543B43">
        <w:rPr>
          <w:lang w:val="uk-UA"/>
        </w:rPr>
        <w:t xml:space="preserve">проблеми виникають в результаті складної взаємодії генетичних, біологічних, особистісних </w:t>
      </w:r>
      <w:r w:rsidR="00543B43">
        <w:rPr>
          <w:lang w:val="uk-UA"/>
        </w:rPr>
        <w:t xml:space="preserve">причин та середовища </w:t>
      </w:r>
      <w:r w:rsidR="00543B43" w:rsidRPr="00543B43">
        <w:rPr>
          <w:lang w:val="uk-UA"/>
        </w:rPr>
        <w:t xml:space="preserve">і </w:t>
      </w:r>
      <w:r w:rsidR="00543B43">
        <w:rPr>
          <w:lang w:val="uk-UA"/>
        </w:rPr>
        <w:t>посилюються</w:t>
      </w:r>
      <w:r w:rsidR="00543B43" w:rsidRPr="00543B43">
        <w:rPr>
          <w:lang w:val="uk-UA"/>
        </w:rPr>
        <w:t>, наприклад, досвідом конфліктів, переміщень, дискримінації, утисків і соціально</w:t>
      </w:r>
      <w:r w:rsidR="00543B43">
        <w:rPr>
          <w:lang w:val="uk-UA"/>
        </w:rPr>
        <w:t>го відчуження</w:t>
      </w:r>
      <w:r w:rsidR="00543B43" w:rsidRPr="00543B43">
        <w:rPr>
          <w:lang w:val="uk-UA"/>
        </w:rPr>
        <w:t xml:space="preserve">, а також </w:t>
      </w:r>
      <w:r w:rsidR="00543B43">
        <w:rPr>
          <w:lang w:val="uk-UA"/>
        </w:rPr>
        <w:t xml:space="preserve">стресом, пов’язаними з відчуттям </w:t>
      </w:r>
      <w:r w:rsidR="000A5F62">
        <w:rPr>
          <w:lang w:val="uk-UA"/>
        </w:rPr>
        <w:t xml:space="preserve">(іміджом) </w:t>
      </w:r>
      <w:r w:rsidR="00543B43">
        <w:rPr>
          <w:lang w:val="uk-UA"/>
        </w:rPr>
        <w:t>свого тіла та культ</w:t>
      </w:r>
      <w:r w:rsidR="000A5F62">
        <w:rPr>
          <w:lang w:val="uk-UA"/>
        </w:rPr>
        <w:t xml:space="preserve">ом </w:t>
      </w:r>
      <w:r w:rsidR="00543B43">
        <w:rPr>
          <w:lang w:val="uk-UA"/>
        </w:rPr>
        <w:t>«досконалості»</w:t>
      </w:r>
      <w:r w:rsidR="00543B43" w:rsidRPr="00543B43">
        <w:rPr>
          <w:lang w:val="uk-UA"/>
        </w:rPr>
        <w:t xml:space="preserve">. До числа </w:t>
      </w:r>
      <w:r w:rsidR="000A5F62">
        <w:rPr>
          <w:lang w:val="uk-UA"/>
        </w:rPr>
        <w:t>чинникі</w:t>
      </w:r>
      <w:r w:rsidR="00543B43" w:rsidRPr="00543B43">
        <w:rPr>
          <w:lang w:val="uk-UA"/>
        </w:rPr>
        <w:t xml:space="preserve">в, </w:t>
      </w:r>
      <w:r w:rsidR="000A5F62">
        <w:rPr>
          <w:lang w:val="uk-UA"/>
        </w:rPr>
        <w:t xml:space="preserve">що </w:t>
      </w:r>
      <w:r w:rsidR="00543B43" w:rsidRPr="00543B43">
        <w:rPr>
          <w:lang w:val="uk-UA"/>
        </w:rPr>
        <w:t>можуть сприяти підвищенню життєстійкості і здоровому розвитку</w:t>
      </w:r>
      <w:r w:rsidR="000A5F62">
        <w:rPr>
          <w:lang w:val="uk-UA"/>
        </w:rPr>
        <w:t>, а також</w:t>
      </w:r>
      <w:r w:rsidR="00543B43" w:rsidRPr="00543B43">
        <w:rPr>
          <w:lang w:val="uk-UA"/>
        </w:rPr>
        <w:t xml:space="preserve"> захисту від психічних захворювань, </w:t>
      </w:r>
      <w:r w:rsidR="000A5F62">
        <w:rPr>
          <w:lang w:val="uk-UA"/>
        </w:rPr>
        <w:t xml:space="preserve">належать тісні стосунки та підтримка з боку важливих для підлітка </w:t>
      </w:r>
      <w:r w:rsidR="00543B43" w:rsidRPr="00543B43">
        <w:rPr>
          <w:lang w:val="uk-UA"/>
        </w:rPr>
        <w:t>доросли</w:t>
      </w:r>
      <w:r w:rsidR="000A5F62">
        <w:rPr>
          <w:lang w:val="uk-UA"/>
        </w:rPr>
        <w:t>х</w:t>
      </w:r>
      <w:r w:rsidR="00543B43" w:rsidRPr="00543B43">
        <w:rPr>
          <w:lang w:val="uk-UA"/>
        </w:rPr>
        <w:t xml:space="preserve">, позитивні </w:t>
      </w:r>
      <w:r w:rsidR="000A5F62">
        <w:rPr>
          <w:lang w:val="uk-UA"/>
        </w:rPr>
        <w:t>моделі для наслідування</w:t>
      </w:r>
      <w:r w:rsidR="00543B43" w:rsidRPr="00543B43">
        <w:rPr>
          <w:lang w:val="uk-UA"/>
        </w:rPr>
        <w:t xml:space="preserve">, належний рівень життя, доступ до якісної середньої освіти, свобода від насильства і дискримінації, можливості впливати на події і приймати рішення, </w:t>
      </w:r>
      <w:r w:rsidR="000A5F62">
        <w:rPr>
          <w:lang w:val="uk-UA"/>
        </w:rPr>
        <w:t>обізнаність про психічне здоров’</w:t>
      </w:r>
      <w:r w:rsidR="00543B43" w:rsidRPr="00543B43">
        <w:rPr>
          <w:lang w:val="uk-UA"/>
        </w:rPr>
        <w:t>я, навич</w:t>
      </w:r>
      <w:r w:rsidR="000A5F62">
        <w:rPr>
          <w:lang w:val="uk-UA"/>
        </w:rPr>
        <w:t>ки вирішення проблем і подолання</w:t>
      </w:r>
      <w:r w:rsidR="00543B43" w:rsidRPr="00543B43">
        <w:rPr>
          <w:lang w:val="uk-UA"/>
        </w:rPr>
        <w:t xml:space="preserve"> труднощів, а також </w:t>
      </w:r>
      <w:r w:rsidR="000A5F62">
        <w:rPr>
          <w:lang w:val="uk-UA"/>
        </w:rPr>
        <w:t>безпечне і здорове навколишнє середовище</w:t>
      </w:r>
      <w:r w:rsidR="00543B43" w:rsidRPr="00543B43">
        <w:rPr>
          <w:lang w:val="uk-UA"/>
        </w:rPr>
        <w:t xml:space="preserve">. Комітет </w:t>
      </w:r>
      <w:r w:rsidR="000A5F62">
        <w:rPr>
          <w:lang w:val="uk-UA"/>
        </w:rPr>
        <w:t>наголошує</w:t>
      </w:r>
      <w:r w:rsidR="00543B43" w:rsidRPr="00543B43">
        <w:rPr>
          <w:lang w:val="uk-UA"/>
        </w:rPr>
        <w:t xml:space="preserve">, що </w:t>
      </w:r>
      <w:r w:rsidR="000A5F62">
        <w:rPr>
          <w:lang w:val="uk-UA"/>
        </w:rPr>
        <w:t xml:space="preserve">замість надмірної </w:t>
      </w:r>
      <w:proofErr w:type="spellStart"/>
      <w:r w:rsidR="000A5F62">
        <w:rPr>
          <w:lang w:val="uk-UA"/>
        </w:rPr>
        <w:t>медикалізації</w:t>
      </w:r>
      <w:proofErr w:type="spellEnd"/>
      <w:r w:rsidR="000A5F62">
        <w:rPr>
          <w:lang w:val="uk-UA"/>
        </w:rPr>
        <w:t xml:space="preserve"> та влаштування в медичні установи </w:t>
      </w:r>
      <w:r w:rsidR="00543B43" w:rsidRPr="00543B43">
        <w:rPr>
          <w:lang w:val="uk-UA"/>
        </w:rPr>
        <w:t xml:space="preserve">державам слід </w:t>
      </w:r>
      <w:r w:rsidR="000A5F62">
        <w:rPr>
          <w:lang w:val="uk-UA"/>
        </w:rPr>
        <w:t xml:space="preserve">йти шляхом підтримки охорони громадського здоров’я </w:t>
      </w:r>
      <w:r w:rsidR="00543B43" w:rsidRPr="00543B43">
        <w:rPr>
          <w:lang w:val="uk-UA"/>
        </w:rPr>
        <w:t>та психосоціальн</w:t>
      </w:r>
      <w:r w:rsidR="000A5F62">
        <w:rPr>
          <w:lang w:val="uk-UA"/>
        </w:rPr>
        <w:t>ої підтримки</w:t>
      </w:r>
      <w:r w:rsidR="00543B43" w:rsidRPr="00543B43">
        <w:rPr>
          <w:lang w:val="uk-UA"/>
        </w:rPr>
        <w:t xml:space="preserve">. </w:t>
      </w:r>
      <w:r w:rsidR="000A5F62">
        <w:rPr>
          <w:lang w:val="uk-UA"/>
        </w:rPr>
        <w:t xml:space="preserve">Потрібні комплексні багатогалузеві </w:t>
      </w:r>
      <w:r w:rsidR="00543B43" w:rsidRPr="00543B43">
        <w:rPr>
          <w:lang w:val="uk-UA"/>
        </w:rPr>
        <w:t xml:space="preserve">заходи </w:t>
      </w:r>
      <w:r w:rsidR="000A5F62">
        <w:rPr>
          <w:lang w:val="uk-UA"/>
        </w:rPr>
        <w:t xml:space="preserve">реагування </w:t>
      </w:r>
      <w:r w:rsidR="00543B43" w:rsidRPr="00543B43">
        <w:rPr>
          <w:lang w:val="uk-UA"/>
        </w:rPr>
        <w:t xml:space="preserve">в рамках </w:t>
      </w:r>
      <w:r w:rsidR="000A5F62">
        <w:rPr>
          <w:lang w:val="uk-UA"/>
        </w:rPr>
        <w:t xml:space="preserve">інтегрованих </w:t>
      </w:r>
      <w:r w:rsidR="00543B43" w:rsidRPr="00543B43">
        <w:rPr>
          <w:lang w:val="uk-UA"/>
        </w:rPr>
        <w:t>с</w:t>
      </w:r>
      <w:r w:rsidR="000A5F62">
        <w:rPr>
          <w:lang w:val="uk-UA"/>
        </w:rPr>
        <w:t>истем охорони психічного здоров’</w:t>
      </w:r>
      <w:r w:rsidR="00543B43" w:rsidRPr="00543B43">
        <w:rPr>
          <w:lang w:val="uk-UA"/>
        </w:rPr>
        <w:t xml:space="preserve">я підлітків </w:t>
      </w:r>
      <w:r w:rsidR="000A5F62">
        <w:rPr>
          <w:lang w:val="uk-UA"/>
        </w:rPr>
        <w:t xml:space="preserve">із залученням </w:t>
      </w:r>
      <w:r w:rsidR="00543B43" w:rsidRPr="00543B43">
        <w:rPr>
          <w:lang w:val="uk-UA"/>
        </w:rPr>
        <w:t xml:space="preserve">батьків, однолітків, </w:t>
      </w:r>
      <w:r w:rsidR="000A5F62">
        <w:rPr>
          <w:lang w:val="uk-UA"/>
        </w:rPr>
        <w:t xml:space="preserve">інших членів родини </w:t>
      </w:r>
      <w:r w:rsidR="00543B43" w:rsidRPr="00543B43">
        <w:rPr>
          <w:lang w:val="uk-UA"/>
        </w:rPr>
        <w:t>і шкіл</w:t>
      </w:r>
      <w:r w:rsidR="000A5F62">
        <w:rPr>
          <w:lang w:val="uk-UA"/>
        </w:rPr>
        <w:t>, а також підтримка і допомога з боку спеціально підготовлених фахівців</w:t>
      </w:r>
      <w:r w:rsidRPr="00C4067E">
        <w:rPr>
          <w:sz w:val="18"/>
          <w:vertAlign w:val="superscript"/>
          <w:lang w:val="uk-UA"/>
        </w:rPr>
        <w:footnoteReference w:id="27"/>
      </w:r>
      <w:r w:rsidRPr="00C4067E">
        <w:rPr>
          <w:lang w:val="uk-UA"/>
        </w:rPr>
        <w:t>.</w:t>
      </w:r>
    </w:p>
    <w:p w:rsidR="00290DE6" w:rsidRDefault="00A007F8" w:rsidP="00A007F8">
      <w:pPr>
        <w:pStyle w:val="SingleTxtGR"/>
        <w:rPr>
          <w:lang w:val="uk-UA"/>
        </w:rPr>
      </w:pPr>
      <w:r w:rsidRPr="000A5F62">
        <w:rPr>
          <w:lang w:val="uk-UA"/>
        </w:rPr>
        <w:t>59.</w:t>
      </w:r>
      <w:r w:rsidRPr="000A5F62">
        <w:rPr>
          <w:lang w:val="uk-UA"/>
        </w:rPr>
        <w:tab/>
      </w:r>
      <w:r w:rsidR="00290DE6" w:rsidRPr="00290DE6">
        <w:rPr>
          <w:lang w:val="uk-UA"/>
        </w:rPr>
        <w:t xml:space="preserve">Комітет закликає держави </w:t>
      </w:r>
      <w:r w:rsidR="00290DE6">
        <w:rPr>
          <w:lang w:val="uk-UA"/>
        </w:rPr>
        <w:t xml:space="preserve">ухвалити комплексні </w:t>
      </w:r>
      <w:r w:rsidR="00290DE6" w:rsidRPr="00290DE6">
        <w:rPr>
          <w:lang w:val="uk-UA"/>
        </w:rPr>
        <w:t xml:space="preserve">стратегії </w:t>
      </w:r>
      <w:r w:rsidR="00290DE6">
        <w:rPr>
          <w:lang w:val="uk-UA"/>
        </w:rPr>
        <w:t xml:space="preserve">у сфері </w:t>
      </w:r>
      <w:r w:rsidR="00290DE6" w:rsidRPr="00290DE6">
        <w:rPr>
          <w:lang w:val="uk-UA"/>
        </w:rPr>
        <w:t>сексуа</w:t>
      </w:r>
      <w:r w:rsidR="00290DE6">
        <w:rPr>
          <w:lang w:val="uk-UA"/>
        </w:rPr>
        <w:t>льного і репродуктивного здоров’</w:t>
      </w:r>
      <w:r w:rsidR="00290DE6" w:rsidRPr="00290DE6">
        <w:rPr>
          <w:lang w:val="uk-UA"/>
        </w:rPr>
        <w:t xml:space="preserve">я підлітків з урахуванням гендерного та сексуального аспектів, звертаючи при цьому увагу на те, що нерівний доступ підлітків до такої інформації, товарів і послуг </w:t>
      </w:r>
      <w:r w:rsidR="00290DE6">
        <w:rPr>
          <w:lang w:val="uk-UA"/>
        </w:rPr>
        <w:t xml:space="preserve">прирівнюється до </w:t>
      </w:r>
      <w:r w:rsidR="00290DE6" w:rsidRPr="00290DE6">
        <w:rPr>
          <w:lang w:val="uk-UA"/>
        </w:rPr>
        <w:t>дискримінації</w:t>
      </w:r>
      <w:r w:rsidR="00290DE6" w:rsidRPr="000A5F62">
        <w:rPr>
          <w:sz w:val="18"/>
          <w:vertAlign w:val="superscript"/>
          <w:lang w:val="uk-UA"/>
        </w:rPr>
        <w:footnoteReference w:id="28"/>
      </w:r>
      <w:r w:rsidR="00290DE6" w:rsidRPr="00290DE6">
        <w:rPr>
          <w:lang w:val="uk-UA"/>
        </w:rPr>
        <w:t xml:space="preserve">. </w:t>
      </w:r>
      <w:r w:rsidR="00290DE6">
        <w:rPr>
          <w:lang w:val="uk-UA"/>
        </w:rPr>
        <w:t xml:space="preserve">Брак </w:t>
      </w:r>
      <w:r w:rsidR="00290DE6" w:rsidRPr="00290DE6">
        <w:rPr>
          <w:lang w:val="uk-UA"/>
        </w:rPr>
        <w:t xml:space="preserve">доступу до </w:t>
      </w:r>
      <w:r w:rsidR="00290DE6">
        <w:rPr>
          <w:lang w:val="uk-UA"/>
        </w:rPr>
        <w:t xml:space="preserve">цих </w:t>
      </w:r>
      <w:r w:rsidR="00290DE6" w:rsidRPr="00290DE6">
        <w:rPr>
          <w:lang w:val="uk-UA"/>
        </w:rPr>
        <w:t>послу</w:t>
      </w:r>
      <w:r w:rsidR="00290DE6">
        <w:rPr>
          <w:lang w:val="uk-UA"/>
        </w:rPr>
        <w:t>г перетворює дівчат-підлітків</w:t>
      </w:r>
      <w:r w:rsidR="00290DE6" w:rsidRPr="00290DE6">
        <w:rPr>
          <w:lang w:val="uk-UA"/>
        </w:rPr>
        <w:t xml:space="preserve"> </w:t>
      </w:r>
      <w:r w:rsidR="00290DE6">
        <w:rPr>
          <w:lang w:val="uk-UA"/>
        </w:rPr>
        <w:t xml:space="preserve">на групу найвищого </w:t>
      </w:r>
      <w:r w:rsidR="00290DE6" w:rsidRPr="00290DE6">
        <w:rPr>
          <w:lang w:val="uk-UA"/>
        </w:rPr>
        <w:t>ризику загибелі або страждань від важ</w:t>
      </w:r>
      <w:r w:rsidR="00290DE6">
        <w:rPr>
          <w:lang w:val="uk-UA"/>
        </w:rPr>
        <w:t>ких або невиліковних травм, пов’</w:t>
      </w:r>
      <w:r w:rsidR="00290DE6" w:rsidRPr="00290DE6">
        <w:rPr>
          <w:lang w:val="uk-UA"/>
        </w:rPr>
        <w:t>язаних з вагітністю і пологами. Всі підлітки повинні мати доступ</w:t>
      </w:r>
      <w:r w:rsidR="00290DE6">
        <w:rPr>
          <w:lang w:val="uk-UA"/>
        </w:rPr>
        <w:t xml:space="preserve"> до безкоштовних, конфіденційних</w:t>
      </w:r>
      <w:r w:rsidR="00290DE6" w:rsidRPr="00290DE6">
        <w:rPr>
          <w:lang w:val="uk-UA"/>
        </w:rPr>
        <w:t xml:space="preserve">, </w:t>
      </w:r>
      <w:r w:rsidR="00290DE6">
        <w:rPr>
          <w:lang w:val="uk-UA"/>
        </w:rPr>
        <w:t xml:space="preserve">таких, що відповідають їхнім потребам </w:t>
      </w:r>
      <w:r w:rsidR="00290DE6" w:rsidRPr="00290DE6">
        <w:rPr>
          <w:lang w:val="uk-UA"/>
        </w:rPr>
        <w:t xml:space="preserve">і </w:t>
      </w:r>
      <w:r w:rsidR="00290DE6">
        <w:rPr>
          <w:lang w:val="uk-UA"/>
        </w:rPr>
        <w:t xml:space="preserve">вільних від дискримінації </w:t>
      </w:r>
      <w:r w:rsidR="00290DE6" w:rsidRPr="00290DE6">
        <w:rPr>
          <w:lang w:val="uk-UA"/>
        </w:rPr>
        <w:t>послуг з охорони сексуа</w:t>
      </w:r>
      <w:r w:rsidR="00290DE6">
        <w:rPr>
          <w:lang w:val="uk-UA"/>
        </w:rPr>
        <w:t>льного і репродуктивного здоров’</w:t>
      </w:r>
      <w:r w:rsidR="00290DE6" w:rsidRPr="00290DE6">
        <w:rPr>
          <w:lang w:val="uk-UA"/>
        </w:rPr>
        <w:t xml:space="preserve">я, інформації та освіти, </w:t>
      </w:r>
      <w:r w:rsidR="00290DE6">
        <w:rPr>
          <w:lang w:val="uk-UA"/>
        </w:rPr>
        <w:t xml:space="preserve">доступних як онлайн, так </w:t>
      </w:r>
      <w:r w:rsidR="00290DE6" w:rsidRPr="00290DE6">
        <w:rPr>
          <w:lang w:val="uk-UA"/>
        </w:rPr>
        <w:t xml:space="preserve">і в очному режимі, </w:t>
      </w:r>
      <w:r w:rsidR="00290DE6">
        <w:rPr>
          <w:lang w:val="uk-UA"/>
        </w:rPr>
        <w:t>зокрема з питань планування сім’</w:t>
      </w:r>
      <w:r w:rsidR="00290DE6" w:rsidRPr="00290DE6">
        <w:rPr>
          <w:lang w:val="uk-UA"/>
        </w:rPr>
        <w:t>ї, контрацепції</w:t>
      </w:r>
      <w:r w:rsidR="00290DE6">
        <w:rPr>
          <w:lang w:val="uk-UA"/>
        </w:rPr>
        <w:t xml:space="preserve"> (включаючи </w:t>
      </w:r>
      <w:r w:rsidR="00290DE6" w:rsidRPr="00290DE6">
        <w:rPr>
          <w:lang w:val="uk-UA"/>
        </w:rPr>
        <w:t>екстрен</w:t>
      </w:r>
      <w:r w:rsidR="00290DE6">
        <w:rPr>
          <w:lang w:val="uk-UA"/>
        </w:rPr>
        <w:t>у контрацепцію)</w:t>
      </w:r>
      <w:r w:rsidR="00290DE6" w:rsidRPr="00290DE6">
        <w:rPr>
          <w:lang w:val="uk-UA"/>
        </w:rPr>
        <w:t xml:space="preserve">, профілактики, догляду </w:t>
      </w:r>
      <w:r w:rsidR="00290DE6">
        <w:rPr>
          <w:lang w:val="uk-UA"/>
        </w:rPr>
        <w:t>та лікування інфекцій</w:t>
      </w:r>
      <w:r w:rsidR="00290DE6" w:rsidRPr="00290DE6">
        <w:rPr>
          <w:lang w:val="uk-UA"/>
        </w:rPr>
        <w:t>, що передаються статевим шляхом, консультування, спостереження до зачаття, послуг з охорони материнського здоров'я і гігієни</w:t>
      </w:r>
      <w:r w:rsidR="00290DE6">
        <w:rPr>
          <w:lang w:val="uk-UA"/>
        </w:rPr>
        <w:t xml:space="preserve"> менструального циклу. </w:t>
      </w:r>
    </w:p>
    <w:p w:rsidR="00290DE6" w:rsidRDefault="00A007F8" w:rsidP="00A007F8">
      <w:pPr>
        <w:pStyle w:val="SingleTxtGR"/>
        <w:rPr>
          <w:lang w:val="uk-UA"/>
        </w:rPr>
      </w:pPr>
      <w:r w:rsidRPr="000A5F62">
        <w:rPr>
          <w:lang w:val="uk-UA"/>
        </w:rPr>
        <w:lastRenderedPageBreak/>
        <w:t>60.</w:t>
      </w:r>
      <w:r w:rsidRPr="000A5F62">
        <w:rPr>
          <w:lang w:val="uk-UA"/>
        </w:rPr>
        <w:tab/>
      </w:r>
      <w:r w:rsidR="00290DE6" w:rsidRPr="00290DE6">
        <w:rPr>
          <w:lang w:val="uk-UA"/>
        </w:rPr>
        <w:t xml:space="preserve">Не повинно бути </w:t>
      </w:r>
      <w:r w:rsidR="00290DE6">
        <w:rPr>
          <w:lang w:val="uk-UA"/>
        </w:rPr>
        <w:t>жодних перешкод у</w:t>
      </w:r>
      <w:r w:rsidR="00290DE6" w:rsidRPr="00290DE6">
        <w:rPr>
          <w:lang w:val="uk-UA"/>
        </w:rPr>
        <w:t xml:space="preserve"> доступі до товарів, інформації та консультацій </w:t>
      </w:r>
      <w:r w:rsidR="00290DE6">
        <w:rPr>
          <w:lang w:val="uk-UA"/>
        </w:rPr>
        <w:t xml:space="preserve">з питань </w:t>
      </w:r>
      <w:r w:rsidR="00290DE6" w:rsidRPr="00290DE6">
        <w:rPr>
          <w:lang w:val="uk-UA"/>
        </w:rPr>
        <w:t>сексуа</w:t>
      </w:r>
      <w:r w:rsidR="00290DE6">
        <w:rPr>
          <w:lang w:val="uk-UA"/>
        </w:rPr>
        <w:t>льного і репродуктивного здоров’</w:t>
      </w:r>
      <w:r w:rsidR="00290DE6" w:rsidRPr="00290DE6">
        <w:rPr>
          <w:lang w:val="uk-UA"/>
        </w:rPr>
        <w:t xml:space="preserve">я та прав, </w:t>
      </w:r>
      <w:r w:rsidR="00290DE6">
        <w:rPr>
          <w:lang w:val="uk-UA"/>
        </w:rPr>
        <w:t>наприклад, вимог</w:t>
      </w:r>
      <w:r w:rsidR="00290DE6" w:rsidRPr="00290DE6">
        <w:rPr>
          <w:lang w:val="uk-UA"/>
        </w:rPr>
        <w:t xml:space="preserve"> щодо надання згоди або дозволу третьої сторони. Крім того, </w:t>
      </w:r>
      <w:r w:rsidR="00290DE6">
        <w:rPr>
          <w:lang w:val="uk-UA"/>
        </w:rPr>
        <w:t xml:space="preserve">потрібно докласти особливих зусиль </w:t>
      </w:r>
      <w:r w:rsidR="00290DE6" w:rsidRPr="00290DE6">
        <w:rPr>
          <w:lang w:val="uk-UA"/>
        </w:rPr>
        <w:t xml:space="preserve">для подолання </w:t>
      </w:r>
      <w:r w:rsidR="00290DE6">
        <w:rPr>
          <w:lang w:val="uk-UA"/>
        </w:rPr>
        <w:t xml:space="preserve">стигми </w:t>
      </w:r>
      <w:r w:rsidR="00290DE6" w:rsidRPr="00290DE6">
        <w:rPr>
          <w:lang w:val="uk-UA"/>
        </w:rPr>
        <w:t xml:space="preserve">і страху, </w:t>
      </w:r>
      <w:r w:rsidR="00290DE6">
        <w:rPr>
          <w:lang w:val="uk-UA"/>
        </w:rPr>
        <w:t>який можуть відчувати, наприклад, дівчата-підлітки, дівчат</w:t>
      </w:r>
      <w:r w:rsidR="00290DE6" w:rsidRPr="00290DE6">
        <w:rPr>
          <w:lang w:val="uk-UA"/>
        </w:rPr>
        <w:t>а</w:t>
      </w:r>
      <w:r w:rsidR="00290DE6">
        <w:rPr>
          <w:lang w:val="uk-UA"/>
        </w:rPr>
        <w:t xml:space="preserve"> з інвалідністю</w:t>
      </w:r>
      <w:r w:rsidR="00290DE6" w:rsidRPr="00290DE6">
        <w:rPr>
          <w:lang w:val="uk-UA"/>
        </w:rPr>
        <w:t>, а також лесбіянки, гом</w:t>
      </w:r>
      <w:r w:rsidR="00290DE6">
        <w:rPr>
          <w:lang w:val="uk-UA"/>
        </w:rPr>
        <w:t xml:space="preserve">осексуалісти, </w:t>
      </w:r>
      <w:proofErr w:type="spellStart"/>
      <w:r w:rsidR="00290DE6">
        <w:rPr>
          <w:lang w:val="uk-UA"/>
        </w:rPr>
        <w:t>бісексуали</w:t>
      </w:r>
      <w:proofErr w:type="spellEnd"/>
      <w:r w:rsidR="00290DE6">
        <w:rPr>
          <w:lang w:val="uk-UA"/>
        </w:rPr>
        <w:t xml:space="preserve">, </w:t>
      </w:r>
      <w:proofErr w:type="spellStart"/>
      <w:r w:rsidR="00290DE6">
        <w:rPr>
          <w:lang w:val="uk-UA"/>
        </w:rPr>
        <w:t>трансґендери</w:t>
      </w:r>
      <w:proofErr w:type="spellEnd"/>
      <w:r w:rsidR="00290DE6">
        <w:rPr>
          <w:lang w:val="uk-UA"/>
        </w:rPr>
        <w:t xml:space="preserve"> та</w:t>
      </w:r>
      <w:r w:rsidR="00290DE6" w:rsidRPr="00290DE6">
        <w:rPr>
          <w:lang w:val="uk-UA"/>
        </w:rPr>
        <w:t xml:space="preserve"> </w:t>
      </w:r>
      <w:proofErr w:type="spellStart"/>
      <w:r w:rsidR="00290DE6" w:rsidRPr="00290DE6">
        <w:rPr>
          <w:lang w:val="uk-UA"/>
        </w:rPr>
        <w:t>інтерсе</w:t>
      </w:r>
      <w:r w:rsidR="00290DE6">
        <w:rPr>
          <w:lang w:val="uk-UA"/>
        </w:rPr>
        <w:t>ксуали</w:t>
      </w:r>
      <w:proofErr w:type="spellEnd"/>
      <w:r w:rsidR="00290DE6" w:rsidRPr="00290DE6">
        <w:rPr>
          <w:lang w:val="uk-UA"/>
        </w:rPr>
        <w:t xml:space="preserve"> в підлітковому віці</w:t>
      </w:r>
      <w:r w:rsidR="00290DE6">
        <w:rPr>
          <w:lang w:val="uk-UA"/>
        </w:rPr>
        <w:t xml:space="preserve"> у спробах отримати доступ</w:t>
      </w:r>
      <w:r w:rsidR="00290DE6" w:rsidRPr="00290DE6">
        <w:rPr>
          <w:lang w:val="uk-UA"/>
        </w:rPr>
        <w:t xml:space="preserve"> до </w:t>
      </w:r>
      <w:r w:rsidR="00290DE6">
        <w:rPr>
          <w:lang w:val="uk-UA"/>
        </w:rPr>
        <w:t xml:space="preserve">цих </w:t>
      </w:r>
      <w:r w:rsidR="00290DE6" w:rsidRPr="00290DE6">
        <w:rPr>
          <w:lang w:val="uk-UA"/>
        </w:rPr>
        <w:t>послуг. Комітет закликає держави скасувати кримінальну відповідальність за аборти</w:t>
      </w:r>
      <w:r w:rsidR="00290DE6">
        <w:rPr>
          <w:lang w:val="uk-UA"/>
        </w:rPr>
        <w:t xml:space="preserve"> з тим, щоб дівчата </w:t>
      </w:r>
      <w:r w:rsidR="00290DE6" w:rsidRPr="00290DE6">
        <w:rPr>
          <w:lang w:val="uk-UA"/>
        </w:rPr>
        <w:t xml:space="preserve">мали </w:t>
      </w:r>
      <w:r w:rsidR="00290DE6">
        <w:rPr>
          <w:lang w:val="uk-UA"/>
        </w:rPr>
        <w:t xml:space="preserve">безперешкодний </w:t>
      </w:r>
      <w:r w:rsidR="00290DE6" w:rsidRPr="00290DE6">
        <w:rPr>
          <w:lang w:val="uk-UA"/>
        </w:rPr>
        <w:t xml:space="preserve">доступ до безпечних послуг з </w:t>
      </w:r>
      <w:r w:rsidR="00290DE6">
        <w:rPr>
          <w:lang w:val="uk-UA"/>
        </w:rPr>
        <w:t xml:space="preserve">переривання вагітності та </w:t>
      </w:r>
      <w:r w:rsidR="00290DE6" w:rsidRPr="00290DE6">
        <w:rPr>
          <w:lang w:val="uk-UA"/>
        </w:rPr>
        <w:t>догляд</w:t>
      </w:r>
      <w:r w:rsidR="00290DE6">
        <w:rPr>
          <w:lang w:val="uk-UA"/>
        </w:rPr>
        <w:t xml:space="preserve">у </w:t>
      </w:r>
      <w:r w:rsidR="00290DE6" w:rsidRPr="00290DE6">
        <w:rPr>
          <w:lang w:val="uk-UA"/>
        </w:rPr>
        <w:t xml:space="preserve">після аборту, </w:t>
      </w:r>
      <w:r w:rsidR="00290DE6">
        <w:rPr>
          <w:lang w:val="uk-UA"/>
        </w:rPr>
        <w:t xml:space="preserve">а також </w:t>
      </w:r>
      <w:r w:rsidR="00290DE6" w:rsidRPr="00290DE6">
        <w:rPr>
          <w:lang w:val="uk-UA"/>
        </w:rPr>
        <w:t xml:space="preserve">переглянути законодавство з метою </w:t>
      </w:r>
      <w:r w:rsidR="00290DE6">
        <w:rPr>
          <w:lang w:val="uk-UA"/>
        </w:rPr>
        <w:t xml:space="preserve">гарантування </w:t>
      </w:r>
      <w:r w:rsidR="00290DE6" w:rsidRPr="00290DE6">
        <w:rPr>
          <w:lang w:val="uk-UA"/>
        </w:rPr>
        <w:t xml:space="preserve">найкращих інтересів вагітних </w:t>
      </w:r>
      <w:r w:rsidR="00290DE6">
        <w:rPr>
          <w:lang w:val="uk-UA"/>
        </w:rPr>
        <w:t>дівчат-</w:t>
      </w:r>
      <w:r w:rsidR="00290DE6" w:rsidRPr="00290DE6">
        <w:rPr>
          <w:lang w:val="uk-UA"/>
        </w:rPr>
        <w:t xml:space="preserve">підлітків і забезпечення </w:t>
      </w:r>
      <w:r w:rsidR="00290DE6">
        <w:rPr>
          <w:lang w:val="uk-UA"/>
        </w:rPr>
        <w:t xml:space="preserve">врахування їхніх думок у рішеннях, що стосуються </w:t>
      </w:r>
      <w:r w:rsidR="00290DE6" w:rsidRPr="00290DE6">
        <w:rPr>
          <w:lang w:val="uk-UA"/>
        </w:rPr>
        <w:t>аборт</w:t>
      </w:r>
      <w:r w:rsidR="00290DE6">
        <w:rPr>
          <w:lang w:val="uk-UA"/>
        </w:rPr>
        <w:t xml:space="preserve">ів. </w:t>
      </w:r>
    </w:p>
    <w:p w:rsidR="00BE2C30" w:rsidRDefault="00A007F8" w:rsidP="00A007F8">
      <w:pPr>
        <w:pStyle w:val="SingleTxtGR"/>
        <w:rPr>
          <w:lang w:val="uk-UA"/>
        </w:rPr>
      </w:pPr>
      <w:r w:rsidRPr="000A5F62">
        <w:rPr>
          <w:lang w:val="uk-UA"/>
        </w:rPr>
        <w:t>61.</w:t>
      </w:r>
      <w:r w:rsidRPr="000A5F62">
        <w:rPr>
          <w:lang w:val="uk-UA"/>
        </w:rPr>
        <w:tab/>
      </w:r>
      <w:r w:rsidR="00BE2C30">
        <w:rPr>
          <w:lang w:val="uk-UA"/>
        </w:rPr>
        <w:t xml:space="preserve">Комплексне, </w:t>
      </w:r>
      <w:r w:rsidR="00BE2C30" w:rsidRPr="00BE2C30">
        <w:rPr>
          <w:lang w:val="uk-UA"/>
        </w:rPr>
        <w:t>інклюзивн</w:t>
      </w:r>
      <w:r w:rsidR="00BE2C30">
        <w:rPr>
          <w:lang w:val="uk-UA"/>
        </w:rPr>
        <w:t xml:space="preserve">е і таке, що відповідає віку навчання </w:t>
      </w:r>
      <w:r w:rsidR="00BE2C30" w:rsidRPr="00BE2C30">
        <w:rPr>
          <w:lang w:val="uk-UA"/>
        </w:rPr>
        <w:t>з питань сексуал</w:t>
      </w:r>
      <w:r w:rsidR="00BE2C30">
        <w:rPr>
          <w:lang w:val="uk-UA"/>
        </w:rPr>
        <w:t>ьного і репродуктивного здоров’</w:t>
      </w:r>
      <w:r w:rsidR="00BE2C30" w:rsidRPr="00BE2C30">
        <w:rPr>
          <w:lang w:val="uk-UA"/>
        </w:rPr>
        <w:t>я</w:t>
      </w:r>
      <w:r w:rsidR="00BE2C30">
        <w:rPr>
          <w:lang w:val="uk-UA"/>
        </w:rPr>
        <w:t xml:space="preserve"> на основі </w:t>
      </w:r>
      <w:r w:rsidR="00BE2C30" w:rsidRPr="00BE2C30">
        <w:rPr>
          <w:lang w:val="uk-UA"/>
        </w:rPr>
        <w:t>наукових даних і стандарт</w:t>
      </w:r>
      <w:r w:rsidR="00BE2C30">
        <w:rPr>
          <w:lang w:val="uk-UA"/>
        </w:rPr>
        <w:t xml:space="preserve">ів </w:t>
      </w:r>
      <w:r w:rsidR="00BE2C30" w:rsidRPr="00BE2C30">
        <w:rPr>
          <w:lang w:val="uk-UA"/>
        </w:rPr>
        <w:t>прав людини</w:t>
      </w:r>
      <w:r w:rsidR="00BE2C30">
        <w:rPr>
          <w:lang w:val="uk-UA"/>
        </w:rPr>
        <w:t xml:space="preserve">, </w:t>
      </w:r>
      <w:r w:rsidR="00BE2C30" w:rsidRPr="00BE2C30">
        <w:rPr>
          <w:lang w:val="uk-UA"/>
        </w:rPr>
        <w:t xml:space="preserve">розроблене за участю підлітків, </w:t>
      </w:r>
      <w:r w:rsidR="00BE2C30">
        <w:rPr>
          <w:lang w:val="uk-UA"/>
        </w:rPr>
        <w:t>має стати частиною обов’</w:t>
      </w:r>
      <w:r w:rsidR="00BE2C30" w:rsidRPr="00BE2C30">
        <w:rPr>
          <w:lang w:val="uk-UA"/>
        </w:rPr>
        <w:t>язкової шкільної програми</w:t>
      </w:r>
      <w:r w:rsidR="00BE2C30">
        <w:rPr>
          <w:lang w:val="uk-UA"/>
        </w:rPr>
        <w:t xml:space="preserve">, а також охоплювати </w:t>
      </w:r>
      <w:r w:rsidR="00BE2C30" w:rsidRPr="00BE2C30">
        <w:rPr>
          <w:lang w:val="uk-UA"/>
        </w:rPr>
        <w:t xml:space="preserve">підлітків, які не відвідують школу. </w:t>
      </w:r>
      <w:r w:rsidR="00BE2C30">
        <w:rPr>
          <w:lang w:val="uk-UA"/>
        </w:rPr>
        <w:t xml:space="preserve">Особливу увагу слід приділити правам у галузі ґендерної </w:t>
      </w:r>
      <w:r w:rsidR="00BE2C30" w:rsidRPr="00BE2C30">
        <w:rPr>
          <w:lang w:val="uk-UA"/>
        </w:rPr>
        <w:t>рівності, сексуально</w:t>
      </w:r>
      <w:r w:rsidR="00BE2C30">
        <w:rPr>
          <w:lang w:val="uk-UA"/>
        </w:rPr>
        <w:t>ї багатоманітності</w:t>
      </w:r>
      <w:r w:rsidR="00BE2C30" w:rsidRPr="00BE2C30">
        <w:rPr>
          <w:lang w:val="uk-UA"/>
        </w:rPr>
        <w:t xml:space="preserve">, </w:t>
      </w:r>
      <w:r w:rsidR="00BE2C30">
        <w:rPr>
          <w:lang w:val="uk-UA"/>
        </w:rPr>
        <w:t xml:space="preserve">та </w:t>
      </w:r>
      <w:r w:rsidR="00BE2C30" w:rsidRPr="00BE2C30">
        <w:rPr>
          <w:lang w:val="uk-UA"/>
        </w:rPr>
        <w:t xml:space="preserve">сексуального </w:t>
      </w:r>
      <w:r w:rsidR="00BE2C30">
        <w:rPr>
          <w:lang w:val="uk-UA"/>
        </w:rPr>
        <w:t>і</w:t>
      </w:r>
      <w:r w:rsidR="00BE2C30" w:rsidRPr="00BE2C30">
        <w:rPr>
          <w:lang w:val="uk-UA"/>
        </w:rPr>
        <w:t xml:space="preserve"> репродуктивного здоров'я, відповідально</w:t>
      </w:r>
      <w:r w:rsidR="00BE2C30">
        <w:rPr>
          <w:lang w:val="uk-UA"/>
        </w:rPr>
        <w:t xml:space="preserve">му батьківству, </w:t>
      </w:r>
      <w:r w:rsidR="00BE2C30" w:rsidRPr="00BE2C30">
        <w:rPr>
          <w:lang w:val="uk-UA"/>
        </w:rPr>
        <w:t>сексуальн</w:t>
      </w:r>
      <w:r w:rsidR="00BE2C30">
        <w:rPr>
          <w:lang w:val="uk-UA"/>
        </w:rPr>
        <w:t xml:space="preserve">ій поведінці та запобіганню </w:t>
      </w:r>
      <w:r w:rsidR="00BE2C30" w:rsidRPr="00BE2C30">
        <w:rPr>
          <w:lang w:val="uk-UA"/>
        </w:rPr>
        <w:t xml:space="preserve">насильства, а також профілактиці ранньої вагітності та інфекцій, що передаються статевим шляхом. Інформація </w:t>
      </w:r>
      <w:r w:rsidR="00BE2C30">
        <w:rPr>
          <w:lang w:val="uk-UA"/>
        </w:rPr>
        <w:t xml:space="preserve">має бути доступною </w:t>
      </w:r>
      <w:r w:rsidR="00BE2C30" w:rsidRPr="00BE2C30">
        <w:rPr>
          <w:lang w:val="uk-UA"/>
        </w:rPr>
        <w:t>в альтернативних форматах</w:t>
      </w:r>
      <w:r w:rsidR="00BE2C30">
        <w:rPr>
          <w:lang w:val="uk-UA"/>
        </w:rPr>
        <w:t xml:space="preserve">, щоб охоплювати всіх підлітків, особливо підлітків з інвалідністю. </w:t>
      </w:r>
    </w:p>
    <w:p w:rsidR="00A007F8" w:rsidRPr="000A5F62" w:rsidRDefault="00A007F8" w:rsidP="0067613A">
      <w:pPr>
        <w:pStyle w:val="H23GR"/>
        <w:rPr>
          <w:lang w:val="uk-UA"/>
        </w:rPr>
      </w:pPr>
      <w:r w:rsidRPr="000A5F62">
        <w:rPr>
          <w:lang w:val="uk-UA"/>
        </w:rPr>
        <w:tab/>
      </w:r>
      <w:r w:rsidRPr="000A5F62">
        <w:rPr>
          <w:lang w:val="uk-UA"/>
        </w:rPr>
        <w:tab/>
        <w:t>В</w:t>
      </w:r>
      <w:r w:rsidR="00BE2C30">
        <w:rPr>
          <w:lang w:val="uk-UA"/>
        </w:rPr>
        <w:t>ІЛ/СНІД</w:t>
      </w:r>
    </w:p>
    <w:p w:rsidR="00BE2C30" w:rsidRDefault="00A007F8" w:rsidP="00A007F8">
      <w:pPr>
        <w:pStyle w:val="SingleTxtGR"/>
        <w:rPr>
          <w:lang w:val="uk-UA"/>
        </w:rPr>
      </w:pPr>
      <w:r w:rsidRPr="000A5F62">
        <w:rPr>
          <w:lang w:val="uk-UA"/>
        </w:rPr>
        <w:t>62.</w:t>
      </w:r>
      <w:r w:rsidRPr="000A5F62">
        <w:rPr>
          <w:lang w:val="uk-UA"/>
        </w:rPr>
        <w:tab/>
      </w:r>
      <w:r w:rsidR="00BE2C30" w:rsidRPr="00BE2C30">
        <w:rPr>
          <w:lang w:val="uk-UA"/>
        </w:rPr>
        <w:t xml:space="preserve">Підлітки є єдиною віковою групою, </w:t>
      </w:r>
      <w:r w:rsidR="00BE2C30">
        <w:rPr>
          <w:lang w:val="uk-UA"/>
        </w:rPr>
        <w:t xml:space="preserve">де </w:t>
      </w:r>
      <w:r w:rsidR="00BE2C30" w:rsidRPr="00BE2C30">
        <w:rPr>
          <w:lang w:val="uk-UA"/>
        </w:rPr>
        <w:t>смертність від СНІДу зростає</w:t>
      </w:r>
      <w:r w:rsidR="00BE2C30" w:rsidRPr="000A5F62">
        <w:rPr>
          <w:sz w:val="18"/>
          <w:vertAlign w:val="superscript"/>
          <w:lang w:val="uk-UA"/>
        </w:rPr>
        <w:footnoteReference w:id="29"/>
      </w:r>
      <w:r w:rsidR="00BE2C30" w:rsidRPr="00BE2C30">
        <w:rPr>
          <w:lang w:val="uk-UA"/>
        </w:rPr>
        <w:t xml:space="preserve">. Підлітки можуть стикатися з </w:t>
      </w:r>
      <w:r w:rsidR="00BE2C30">
        <w:rPr>
          <w:lang w:val="uk-UA"/>
        </w:rPr>
        <w:t xml:space="preserve">проблемами доступу </w:t>
      </w:r>
      <w:r w:rsidR="00BE2C30" w:rsidRPr="00BE2C30">
        <w:rPr>
          <w:lang w:val="uk-UA"/>
        </w:rPr>
        <w:t xml:space="preserve">до антиретровірусної терапії та </w:t>
      </w:r>
      <w:r w:rsidR="00BE2C30">
        <w:rPr>
          <w:lang w:val="uk-UA"/>
        </w:rPr>
        <w:t xml:space="preserve">утримання </w:t>
      </w:r>
      <w:r w:rsidR="00BE2C30" w:rsidRPr="00BE2C30">
        <w:rPr>
          <w:lang w:val="uk-UA"/>
        </w:rPr>
        <w:t xml:space="preserve">в </w:t>
      </w:r>
      <w:r w:rsidR="00BE2C30">
        <w:rPr>
          <w:lang w:val="uk-UA"/>
        </w:rPr>
        <w:t xml:space="preserve">лікуванні, а необхідність згоди опікунів на </w:t>
      </w:r>
      <w:r w:rsidR="00BE2C30" w:rsidRPr="00BE2C30">
        <w:rPr>
          <w:lang w:val="uk-UA"/>
        </w:rPr>
        <w:t>дост</w:t>
      </w:r>
      <w:r w:rsidR="00BE2C30">
        <w:rPr>
          <w:lang w:val="uk-UA"/>
        </w:rPr>
        <w:t>уп до послуг, пов’</w:t>
      </w:r>
      <w:r w:rsidR="00BE2C30" w:rsidRPr="00BE2C30">
        <w:rPr>
          <w:lang w:val="uk-UA"/>
        </w:rPr>
        <w:t xml:space="preserve">язаних з ВІЛ, розкриття </w:t>
      </w:r>
      <w:r w:rsidR="00BE2C30">
        <w:rPr>
          <w:lang w:val="uk-UA"/>
        </w:rPr>
        <w:t xml:space="preserve">статусу та стигма – це лише кілька з багатьох перешкод. Від інфекції непропорційно сильно потерпають дівчата-підлітки, адже на них припадає </w:t>
      </w:r>
      <w:r w:rsidR="00BE2C30" w:rsidRPr="00BE2C30">
        <w:rPr>
          <w:lang w:val="uk-UA"/>
        </w:rPr>
        <w:t xml:space="preserve">дві третини від загального числа </w:t>
      </w:r>
      <w:r w:rsidR="00BE2C30">
        <w:rPr>
          <w:lang w:val="uk-UA"/>
        </w:rPr>
        <w:t>нових випадків ВІЛ</w:t>
      </w:r>
      <w:r w:rsidR="00BE2C30" w:rsidRPr="00BE2C30">
        <w:rPr>
          <w:lang w:val="uk-UA"/>
        </w:rPr>
        <w:t>. Лесбіянки, гомо</w:t>
      </w:r>
      <w:r w:rsidR="00BE2C30">
        <w:rPr>
          <w:lang w:val="uk-UA"/>
        </w:rPr>
        <w:t xml:space="preserve">сексуалісти, </w:t>
      </w:r>
      <w:proofErr w:type="spellStart"/>
      <w:r w:rsidR="00BE2C30">
        <w:rPr>
          <w:lang w:val="uk-UA"/>
        </w:rPr>
        <w:t>бісексуали</w:t>
      </w:r>
      <w:proofErr w:type="spellEnd"/>
      <w:r w:rsidR="00BE2C30">
        <w:rPr>
          <w:lang w:val="uk-UA"/>
        </w:rPr>
        <w:t xml:space="preserve"> і </w:t>
      </w:r>
      <w:proofErr w:type="spellStart"/>
      <w:r w:rsidR="00BE2C30">
        <w:rPr>
          <w:lang w:val="uk-UA"/>
        </w:rPr>
        <w:t>трансґ</w:t>
      </w:r>
      <w:r w:rsidR="00BE2C30" w:rsidRPr="00BE2C30">
        <w:rPr>
          <w:lang w:val="uk-UA"/>
        </w:rPr>
        <w:t>ендери</w:t>
      </w:r>
      <w:proofErr w:type="spellEnd"/>
      <w:r w:rsidR="00BE2C30" w:rsidRPr="00BE2C30">
        <w:rPr>
          <w:lang w:val="uk-UA"/>
        </w:rPr>
        <w:t xml:space="preserve"> в підлітковому віці, підлітки, які </w:t>
      </w:r>
      <w:r w:rsidR="00BE2C30">
        <w:rPr>
          <w:lang w:val="uk-UA"/>
        </w:rPr>
        <w:t>обмінюють секс-послуги н</w:t>
      </w:r>
      <w:r w:rsidR="00BE2C30" w:rsidRPr="00BE2C30">
        <w:rPr>
          <w:lang w:val="uk-UA"/>
        </w:rPr>
        <w:t xml:space="preserve">а гроші, товари або блага, </w:t>
      </w:r>
      <w:r w:rsidR="00BE2C30">
        <w:rPr>
          <w:lang w:val="uk-UA"/>
        </w:rPr>
        <w:t xml:space="preserve">а також </w:t>
      </w:r>
      <w:r w:rsidR="00BE2C30" w:rsidRPr="00BE2C30">
        <w:rPr>
          <w:lang w:val="uk-UA"/>
        </w:rPr>
        <w:t xml:space="preserve">підлітки, які вживають наркотики </w:t>
      </w:r>
      <w:r w:rsidR="00BE2C30">
        <w:rPr>
          <w:lang w:val="uk-UA"/>
        </w:rPr>
        <w:t xml:space="preserve">ін’єкційним шляхом наражаються на підвищену небезпеку інфікування </w:t>
      </w:r>
      <w:r w:rsidR="00BE2C30" w:rsidRPr="00BE2C30">
        <w:rPr>
          <w:lang w:val="uk-UA"/>
        </w:rPr>
        <w:t>ВІЛ</w:t>
      </w:r>
      <w:r w:rsidR="00BE2C30">
        <w:rPr>
          <w:lang w:val="uk-UA"/>
        </w:rPr>
        <w:t xml:space="preserve">. </w:t>
      </w:r>
    </w:p>
    <w:p w:rsidR="00BE2C30" w:rsidRDefault="00A007F8" w:rsidP="00A007F8">
      <w:pPr>
        <w:pStyle w:val="SingleTxtGR"/>
        <w:rPr>
          <w:lang w:val="uk-UA"/>
        </w:rPr>
      </w:pPr>
      <w:r w:rsidRPr="000A5F62">
        <w:rPr>
          <w:lang w:val="uk-UA"/>
        </w:rPr>
        <w:t>63.</w:t>
      </w:r>
      <w:r w:rsidRPr="000A5F62">
        <w:rPr>
          <w:lang w:val="uk-UA"/>
        </w:rPr>
        <w:tab/>
      </w:r>
      <w:r w:rsidR="00BE2C30" w:rsidRPr="00BE2C30">
        <w:rPr>
          <w:lang w:val="uk-UA"/>
        </w:rPr>
        <w:t xml:space="preserve">Комітет закликає держави визнати </w:t>
      </w:r>
      <w:r w:rsidR="00BE2C30">
        <w:rPr>
          <w:lang w:val="uk-UA"/>
        </w:rPr>
        <w:t xml:space="preserve">різноманітні реалії життя </w:t>
      </w:r>
      <w:r w:rsidR="00BE2C30" w:rsidRPr="00BE2C30">
        <w:rPr>
          <w:lang w:val="uk-UA"/>
        </w:rPr>
        <w:t xml:space="preserve">підлітків і </w:t>
      </w:r>
      <w:r w:rsidR="00BE2C30">
        <w:rPr>
          <w:lang w:val="uk-UA"/>
        </w:rPr>
        <w:t xml:space="preserve">переконатися, що вони мають </w:t>
      </w:r>
      <w:r w:rsidR="00BE2C30" w:rsidRPr="00BE2C30">
        <w:rPr>
          <w:lang w:val="uk-UA"/>
        </w:rPr>
        <w:t xml:space="preserve">доступ до конфіденційного </w:t>
      </w:r>
      <w:r w:rsidR="00BE2C30">
        <w:rPr>
          <w:lang w:val="uk-UA"/>
        </w:rPr>
        <w:t xml:space="preserve">консультування та </w:t>
      </w:r>
      <w:r w:rsidR="00BE2C30" w:rsidRPr="00BE2C30">
        <w:rPr>
          <w:lang w:val="uk-UA"/>
        </w:rPr>
        <w:t>тестування на ВІЛ</w:t>
      </w:r>
      <w:r w:rsidR="00BE2C30">
        <w:rPr>
          <w:lang w:val="uk-UA"/>
        </w:rPr>
        <w:t xml:space="preserve">, а також до науково-обґрунтованих програм з профілактики та </w:t>
      </w:r>
      <w:r w:rsidR="00BE2C30" w:rsidRPr="00BE2C30">
        <w:rPr>
          <w:lang w:val="uk-UA"/>
        </w:rPr>
        <w:t xml:space="preserve">лікування ВІЛ, </w:t>
      </w:r>
      <w:r w:rsidR="00BE2C30">
        <w:rPr>
          <w:lang w:val="uk-UA"/>
        </w:rPr>
        <w:t xml:space="preserve">що їх здійснює кваліфікований </w:t>
      </w:r>
      <w:r w:rsidR="00BE2C30" w:rsidRPr="00BE2C30">
        <w:rPr>
          <w:lang w:val="uk-UA"/>
        </w:rPr>
        <w:t xml:space="preserve">персонал, який </w:t>
      </w:r>
      <w:r w:rsidR="00BE2C30">
        <w:rPr>
          <w:lang w:val="uk-UA"/>
        </w:rPr>
        <w:t>повною мірою поважає прав</w:t>
      </w:r>
      <w:r w:rsidR="00BE2C30" w:rsidRPr="00BE2C30">
        <w:rPr>
          <w:lang w:val="uk-UA"/>
        </w:rPr>
        <w:t xml:space="preserve"> підлітків на недоторканність приватного життя і недискримінацію. </w:t>
      </w:r>
      <w:r w:rsidR="00BE2C30">
        <w:rPr>
          <w:lang w:val="uk-UA"/>
        </w:rPr>
        <w:t>Медичні п</w:t>
      </w:r>
      <w:r w:rsidR="00BE2C30" w:rsidRPr="00BE2C30">
        <w:rPr>
          <w:lang w:val="uk-UA"/>
        </w:rPr>
        <w:t>ослуги повинні включати в себе інформацію</w:t>
      </w:r>
      <w:r w:rsidR="00BE2C30">
        <w:rPr>
          <w:lang w:val="uk-UA"/>
        </w:rPr>
        <w:t xml:space="preserve"> стосовно </w:t>
      </w:r>
      <w:r w:rsidR="00BE2C30" w:rsidRPr="00BE2C30">
        <w:rPr>
          <w:lang w:val="uk-UA"/>
        </w:rPr>
        <w:t>ВІЛ</w:t>
      </w:r>
      <w:r w:rsidR="00BE2C30">
        <w:rPr>
          <w:lang w:val="uk-UA"/>
        </w:rPr>
        <w:t>-інфекції</w:t>
      </w:r>
      <w:r w:rsidR="00BE2C30" w:rsidRPr="00BE2C30">
        <w:rPr>
          <w:lang w:val="uk-UA"/>
        </w:rPr>
        <w:t xml:space="preserve">, тестування і діагностики; інформацію про методи контрацепції і </w:t>
      </w:r>
      <w:r w:rsidR="00BE2C30">
        <w:rPr>
          <w:lang w:val="uk-UA"/>
        </w:rPr>
        <w:t xml:space="preserve">використання </w:t>
      </w:r>
      <w:r w:rsidR="00BE2C30" w:rsidRPr="00BE2C30">
        <w:rPr>
          <w:lang w:val="uk-UA"/>
        </w:rPr>
        <w:t xml:space="preserve">презервативів; догляд і лікування, в тому числі </w:t>
      </w:r>
      <w:proofErr w:type="spellStart"/>
      <w:r w:rsidR="00BE2C30" w:rsidRPr="00BE2C30">
        <w:rPr>
          <w:lang w:val="uk-UA"/>
        </w:rPr>
        <w:t>антиретровірусні</w:t>
      </w:r>
      <w:proofErr w:type="spellEnd"/>
      <w:r w:rsidR="00BE2C30" w:rsidRPr="00BE2C30">
        <w:rPr>
          <w:lang w:val="uk-UA"/>
        </w:rPr>
        <w:t xml:space="preserve"> та інші </w:t>
      </w:r>
      <w:r w:rsidR="00BE2C30">
        <w:rPr>
          <w:lang w:val="uk-UA"/>
        </w:rPr>
        <w:t xml:space="preserve">препарати і відповідні </w:t>
      </w:r>
      <w:r w:rsidR="00BE2C30" w:rsidRPr="00BE2C30">
        <w:rPr>
          <w:lang w:val="uk-UA"/>
        </w:rPr>
        <w:t xml:space="preserve">технології </w:t>
      </w:r>
      <w:r w:rsidR="00BE2C30">
        <w:rPr>
          <w:lang w:val="uk-UA"/>
        </w:rPr>
        <w:t>з догляду та лікування ВІЛ/</w:t>
      </w:r>
      <w:r w:rsidR="00BE2C30" w:rsidRPr="00BE2C30">
        <w:rPr>
          <w:lang w:val="uk-UA"/>
        </w:rPr>
        <w:t>СНІДу; консультування з питань належного харчування; надання моральної та психосоціальної підтримки</w:t>
      </w:r>
      <w:r w:rsidR="00BE2C30">
        <w:rPr>
          <w:lang w:val="uk-UA"/>
        </w:rPr>
        <w:t>,</w:t>
      </w:r>
      <w:r w:rsidR="00BE2C30" w:rsidRPr="00BE2C30">
        <w:rPr>
          <w:lang w:val="uk-UA"/>
        </w:rPr>
        <w:t xml:space="preserve"> </w:t>
      </w:r>
      <w:r w:rsidR="00BE2C30">
        <w:rPr>
          <w:lang w:val="uk-UA"/>
        </w:rPr>
        <w:t>а також догляд на рівні сім’ї та громади і догляд на дому</w:t>
      </w:r>
      <w:r w:rsidR="00BE2C30" w:rsidRPr="00BE2C30">
        <w:rPr>
          <w:lang w:val="uk-UA"/>
        </w:rPr>
        <w:t xml:space="preserve">. </w:t>
      </w:r>
      <w:r w:rsidR="00BE2C30">
        <w:rPr>
          <w:lang w:val="uk-UA"/>
        </w:rPr>
        <w:t xml:space="preserve">Іншим важливим питанням є </w:t>
      </w:r>
      <w:r w:rsidR="00BE2C30" w:rsidRPr="00BE2C30">
        <w:rPr>
          <w:lang w:val="uk-UA"/>
        </w:rPr>
        <w:t xml:space="preserve">перегляд </w:t>
      </w:r>
      <w:r w:rsidR="00BE2C30">
        <w:rPr>
          <w:lang w:val="uk-UA"/>
        </w:rPr>
        <w:t>законодавства стосовно ВІЛ</w:t>
      </w:r>
      <w:r w:rsidR="00BE2C30" w:rsidRPr="00BE2C30">
        <w:rPr>
          <w:lang w:val="uk-UA"/>
        </w:rPr>
        <w:t xml:space="preserve">, </w:t>
      </w:r>
      <w:r w:rsidR="00BE2C30">
        <w:rPr>
          <w:lang w:val="uk-UA"/>
        </w:rPr>
        <w:t xml:space="preserve">що </w:t>
      </w:r>
      <w:r w:rsidR="00BE2C30" w:rsidRPr="00BE2C30">
        <w:rPr>
          <w:lang w:val="uk-UA"/>
        </w:rPr>
        <w:t>встановлює кримінальну відповідальність за ненавмисн</w:t>
      </w:r>
      <w:r w:rsidR="00BE2C30">
        <w:rPr>
          <w:lang w:val="uk-UA"/>
        </w:rPr>
        <w:t xml:space="preserve">у передачу </w:t>
      </w:r>
      <w:r w:rsidR="00BE2C30" w:rsidRPr="00BE2C30">
        <w:rPr>
          <w:lang w:val="uk-UA"/>
        </w:rPr>
        <w:t xml:space="preserve">ВІЛ-інфекції та </w:t>
      </w:r>
      <w:r w:rsidR="002F48E6">
        <w:rPr>
          <w:lang w:val="uk-UA"/>
        </w:rPr>
        <w:t xml:space="preserve">питання </w:t>
      </w:r>
      <w:r w:rsidR="00BE2C30" w:rsidRPr="00BE2C30">
        <w:rPr>
          <w:lang w:val="uk-UA"/>
        </w:rPr>
        <w:t>не</w:t>
      </w:r>
      <w:r w:rsidR="00BE2C30">
        <w:rPr>
          <w:lang w:val="uk-UA"/>
        </w:rPr>
        <w:t xml:space="preserve">розголошення </w:t>
      </w:r>
      <w:r w:rsidR="00BE2C30" w:rsidRPr="00BE2C30">
        <w:rPr>
          <w:lang w:val="uk-UA"/>
        </w:rPr>
        <w:t xml:space="preserve">ВІЛ-статусу </w:t>
      </w:r>
      <w:r w:rsidR="00BE2C30">
        <w:rPr>
          <w:lang w:val="uk-UA"/>
        </w:rPr>
        <w:t>особи.</w:t>
      </w:r>
      <w:r w:rsidR="00BE2C30" w:rsidRPr="00BE2C30">
        <w:rPr>
          <w:lang w:val="uk-UA"/>
        </w:rPr>
        <w:t xml:space="preserve"> </w:t>
      </w:r>
    </w:p>
    <w:p w:rsidR="00A007F8" w:rsidRPr="00B96930" w:rsidRDefault="00A007F8" w:rsidP="0067613A">
      <w:pPr>
        <w:pStyle w:val="H23GR"/>
        <w:rPr>
          <w:lang w:val="uk-UA"/>
        </w:rPr>
      </w:pPr>
      <w:r w:rsidRPr="00A007F8">
        <w:lastRenderedPageBreak/>
        <w:tab/>
      </w:r>
      <w:r w:rsidRPr="00A007F8">
        <w:tab/>
      </w:r>
      <w:r w:rsidR="00D04681">
        <w:rPr>
          <w:lang w:val="uk-UA"/>
        </w:rPr>
        <w:t>Споживання наркотиків в підлітковому середовищі</w:t>
      </w:r>
    </w:p>
    <w:p w:rsidR="00A007F8" w:rsidRPr="00B96930" w:rsidRDefault="00A007F8" w:rsidP="00D04681">
      <w:pPr>
        <w:pStyle w:val="SingleTxtGR"/>
        <w:rPr>
          <w:lang w:val="uk-UA"/>
        </w:rPr>
      </w:pPr>
      <w:r w:rsidRPr="00B96930">
        <w:rPr>
          <w:lang w:val="uk-UA"/>
        </w:rPr>
        <w:t>64.</w:t>
      </w:r>
      <w:r w:rsidRPr="00B96930">
        <w:rPr>
          <w:lang w:val="uk-UA"/>
        </w:rPr>
        <w:tab/>
      </w:r>
      <w:r w:rsidR="00D04681">
        <w:rPr>
          <w:lang w:val="uk-UA"/>
        </w:rPr>
        <w:t xml:space="preserve">Ймовірність початку споживання наркотиків серед підлітків є вищою, ніж у дорослих, як і ризик шкоди, пов’язаної </w:t>
      </w:r>
      <w:r w:rsidR="00D04681" w:rsidRPr="00D04681">
        <w:rPr>
          <w:lang w:val="uk-UA"/>
        </w:rPr>
        <w:t>з наркотиками</w:t>
      </w:r>
      <w:r w:rsidR="00D04681">
        <w:rPr>
          <w:lang w:val="uk-UA"/>
        </w:rPr>
        <w:t xml:space="preserve">; водночас </w:t>
      </w:r>
      <w:r w:rsidR="00D04681" w:rsidRPr="00D04681">
        <w:rPr>
          <w:lang w:val="uk-UA"/>
        </w:rPr>
        <w:t xml:space="preserve">споживання наркотиків, розпочате в підлітковому віці, частіше призводить до виникнення залежності. До числа підлітків, </w:t>
      </w:r>
      <w:r w:rsidR="00D04681">
        <w:rPr>
          <w:lang w:val="uk-UA"/>
        </w:rPr>
        <w:t xml:space="preserve">які наражаються на найвищий ризик </w:t>
      </w:r>
      <w:r w:rsidR="00D04681" w:rsidRPr="00D04681">
        <w:rPr>
          <w:lang w:val="uk-UA"/>
        </w:rPr>
        <w:t xml:space="preserve">шкоди від наркотиків, </w:t>
      </w:r>
      <w:r w:rsidR="00D04681">
        <w:rPr>
          <w:lang w:val="uk-UA"/>
        </w:rPr>
        <w:t xml:space="preserve">належать </w:t>
      </w:r>
      <w:r w:rsidR="00D04681" w:rsidRPr="00D04681">
        <w:rPr>
          <w:lang w:val="uk-UA"/>
        </w:rPr>
        <w:t xml:space="preserve">підлітки, які живуть </w:t>
      </w:r>
      <w:r w:rsidR="00D04681">
        <w:rPr>
          <w:lang w:val="uk-UA"/>
        </w:rPr>
        <w:t>чи працюють на вулиці, підлітки, в</w:t>
      </w:r>
      <w:r w:rsidR="00D04681" w:rsidRPr="00D04681">
        <w:rPr>
          <w:lang w:val="uk-UA"/>
        </w:rPr>
        <w:t>иключені зі школи</w:t>
      </w:r>
      <w:r w:rsidR="00D04681">
        <w:rPr>
          <w:lang w:val="uk-UA"/>
        </w:rPr>
        <w:t xml:space="preserve"> та ті, хто пережив</w:t>
      </w:r>
      <w:r w:rsidR="00D04681" w:rsidRPr="00D04681">
        <w:rPr>
          <w:lang w:val="uk-UA"/>
        </w:rPr>
        <w:t xml:space="preserve"> </w:t>
      </w:r>
      <w:r w:rsidR="00D04681">
        <w:rPr>
          <w:lang w:val="uk-UA"/>
        </w:rPr>
        <w:t>травматичні події</w:t>
      </w:r>
      <w:r w:rsidR="00D04681" w:rsidRPr="00D04681">
        <w:rPr>
          <w:lang w:val="uk-UA"/>
        </w:rPr>
        <w:t xml:space="preserve">, розпад </w:t>
      </w:r>
      <w:r w:rsidR="00D04681">
        <w:rPr>
          <w:lang w:val="uk-UA"/>
        </w:rPr>
        <w:t>сім’</w:t>
      </w:r>
      <w:r w:rsidR="00D04681" w:rsidRPr="00D04681">
        <w:rPr>
          <w:lang w:val="uk-UA"/>
        </w:rPr>
        <w:t xml:space="preserve">ї </w:t>
      </w:r>
      <w:r w:rsidR="00D04681">
        <w:rPr>
          <w:lang w:val="uk-UA"/>
        </w:rPr>
        <w:t>чи жорстоке поводження</w:t>
      </w:r>
      <w:r w:rsidR="00D04681" w:rsidRPr="00D04681">
        <w:rPr>
          <w:lang w:val="uk-UA"/>
        </w:rPr>
        <w:t>, а також підлітки</w:t>
      </w:r>
      <w:r w:rsidR="00D04681">
        <w:rPr>
          <w:lang w:val="uk-UA"/>
        </w:rPr>
        <w:t xml:space="preserve"> з сімей, де є наркотична залежність. Держави-учасниці зобов’</w:t>
      </w:r>
      <w:r w:rsidR="00D04681" w:rsidRPr="00D04681">
        <w:rPr>
          <w:lang w:val="uk-UA"/>
        </w:rPr>
        <w:t xml:space="preserve">язані захищати підлітків від незаконного вживання наркотичних засобів </w:t>
      </w:r>
      <w:r w:rsidR="00D04681">
        <w:rPr>
          <w:lang w:val="uk-UA"/>
        </w:rPr>
        <w:t>і психотропних речовин. Держави</w:t>
      </w:r>
      <w:r w:rsidR="00D04681" w:rsidRPr="00D04681">
        <w:rPr>
          <w:lang w:val="uk-UA"/>
        </w:rPr>
        <w:t>-учасниц</w:t>
      </w:r>
      <w:r w:rsidR="00D04681">
        <w:rPr>
          <w:lang w:val="uk-UA"/>
        </w:rPr>
        <w:t>і</w:t>
      </w:r>
      <w:r w:rsidR="00D04681" w:rsidRPr="00D04681">
        <w:rPr>
          <w:lang w:val="uk-UA"/>
        </w:rPr>
        <w:t xml:space="preserve"> </w:t>
      </w:r>
      <w:r w:rsidR="00D04681">
        <w:rPr>
          <w:lang w:val="uk-UA"/>
        </w:rPr>
        <w:t xml:space="preserve">також повинні </w:t>
      </w:r>
      <w:r w:rsidR="00D04681" w:rsidRPr="00D04681">
        <w:rPr>
          <w:lang w:val="uk-UA"/>
        </w:rPr>
        <w:t>забезпеч</w:t>
      </w:r>
      <w:r w:rsidR="00D04681">
        <w:rPr>
          <w:lang w:val="uk-UA"/>
        </w:rPr>
        <w:t>увати право підлітків на здоров’я у зв’</w:t>
      </w:r>
      <w:r w:rsidR="00D04681" w:rsidRPr="00D04681">
        <w:rPr>
          <w:lang w:val="uk-UA"/>
        </w:rPr>
        <w:t xml:space="preserve">язку з </w:t>
      </w:r>
      <w:r w:rsidR="00D04681">
        <w:rPr>
          <w:lang w:val="uk-UA"/>
        </w:rPr>
        <w:t xml:space="preserve">вживанням </w:t>
      </w:r>
      <w:r w:rsidR="00D04681" w:rsidRPr="00D04681">
        <w:rPr>
          <w:lang w:val="uk-UA"/>
        </w:rPr>
        <w:t xml:space="preserve">цих речовин, а також тютюну, алкоголю і розчинників, </w:t>
      </w:r>
      <w:r w:rsidR="00D04681">
        <w:rPr>
          <w:lang w:val="uk-UA"/>
        </w:rPr>
        <w:t xml:space="preserve">та запроваджувати </w:t>
      </w:r>
      <w:r w:rsidR="00D04681" w:rsidRPr="00D04681">
        <w:rPr>
          <w:lang w:val="uk-UA"/>
        </w:rPr>
        <w:t>послуги з по</w:t>
      </w:r>
      <w:r w:rsidR="00D04681">
        <w:rPr>
          <w:lang w:val="uk-UA"/>
        </w:rPr>
        <w:t>передження, зменшення шкоди та лікування</w:t>
      </w:r>
      <w:r w:rsidR="00D04681" w:rsidRPr="00D04681">
        <w:rPr>
          <w:lang w:val="uk-UA"/>
        </w:rPr>
        <w:t xml:space="preserve"> наркозалежності без будь-якої дискримінації </w:t>
      </w:r>
      <w:r w:rsidR="00D04681">
        <w:rPr>
          <w:lang w:val="uk-UA"/>
        </w:rPr>
        <w:t>та з належним бюджетним фінансуванням</w:t>
      </w:r>
      <w:r w:rsidR="00D04681" w:rsidRPr="00D04681">
        <w:rPr>
          <w:lang w:val="uk-UA"/>
        </w:rPr>
        <w:t xml:space="preserve">. </w:t>
      </w:r>
      <w:r w:rsidR="00D04681">
        <w:rPr>
          <w:lang w:val="uk-UA"/>
        </w:rPr>
        <w:t>На схвалення заслуговують будь-які а</w:t>
      </w:r>
      <w:r w:rsidR="00D04681" w:rsidRPr="00D04681">
        <w:rPr>
          <w:lang w:val="uk-UA"/>
        </w:rPr>
        <w:t>льтернативи каральн</w:t>
      </w:r>
      <w:r w:rsidR="00D04681">
        <w:rPr>
          <w:lang w:val="uk-UA"/>
        </w:rPr>
        <w:t xml:space="preserve">ій чи репресивній політиці </w:t>
      </w:r>
      <w:r w:rsidR="00D04681" w:rsidRPr="00D04681">
        <w:rPr>
          <w:lang w:val="uk-UA"/>
        </w:rPr>
        <w:t xml:space="preserve">контролю </w:t>
      </w:r>
      <w:r w:rsidR="00D04681">
        <w:rPr>
          <w:lang w:val="uk-UA"/>
        </w:rPr>
        <w:t xml:space="preserve">за </w:t>
      </w:r>
      <w:r w:rsidR="00D04681" w:rsidRPr="00D04681">
        <w:rPr>
          <w:lang w:val="uk-UA"/>
        </w:rPr>
        <w:t xml:space="preserve">наркотиками </w:t>
      </w:r>
      <w:r w:rsidR="00D04681">
        <w:rPr>
          <w:lang w:val="uk-UA"/>
        </w:rPr>
        <w:t>у відношенні до підлітків</w:t>
      </w:r>
      <w:r w:rsidR="00D04681" w:rsidRPr="00B96930">
        <w:rPr>
          <w:sz w:val="18"/>
          <w:vertAlign w:val="superscript"/>
          <w:lang w:val="uk-UA"/>
        </w:rPr>
        <w:footnoteReference w:id="30"/>
      </w:r>
      <w:r w:rsidR="00D04681" w:rsidRPr="00D04681">
        <w:rPr>
          <w:lang w:val="uk-UA"/>
        </w:rPr>
        <w:t xml:space="preserve">. </w:t>
      </w:r>
      <w:r w:rsidR="00D04681">
        <w:rPr>
          <w:lang w:val="uk-UA"/>
        </w:rPr>
        <w:t xml:space="preserve">Також необхідно надавати підліткам точну та об’єктивну </w:t>
      </w:r>
      <w:r w:rsidR="00D04681" w:rsidRPr="00D04681">
        <w:rPr>
          <w:lang w:val="uk-UA"/>
        </w:rPr>
        <w:t>інформаці</w:t>
      </w:r>
      <w:r w:rsidR="00D04681">
        <w:rPr>
          <w:lang w:val="uk-UA"/>
        </w:rPr>
        <w:t xml:space="preserve">ю на основі науково підтверджених даних, спрямовану на </w:t>
      </w:r>
      <w:r w:rsidR="00D04681" w:rsidRPr="00D04681">
        <w:rPr>
          <w:lang w:val="uk-UA"/>
        </w:rPr>
        <w:t xml:space="preserve">запобігання і </w:t>
      </w:r>
      <w:r w:rsidR="00D04681">
        <w:rPr>
          <w:lang w:val="uk-UA"/>
        </w:rPr>
        <w:t xml:space="preserve">мінімізацію </w:t>
      </w:r>
      <w:r w:rsidR="00D04681" w:rsidRPr="00D04681">
        <w:rPr>
          <w:lang w:val="uk-UA"/>
        </w:rPr>
        <w:t>шкоди від вживання наркотиків</w:t>
      </w:r>
      <w:r w:rsidRPr="00B96930">
        <w:rPr>
          <w:lang w:val="uk-UA"/>
        </w:rPr>
        <w:t>.</w:t>
      </w:r>
    </w:p>
    <w:p w:rsidR="00A007F8" w:rsidRPr="00B96930" w:rsidRDefault="00A007F8" w:rsidP="0067613A">
      <w:pPr>
        <w:pStyle w:val="H23GR"/>
        <w:rPr>
          <w:lang w:val="uk-UA"/>
        </w:rPr>
      </w:pPr>
      <w:r w:rsidRPr="00B96930">
        <w:rPr>
          <w:lang w:val="uk-UA"/>
        </w:rPr>
        <w:tab/>
      </w:r>
      <w:r w:rsidRPr="00B96930">
        <w:rPr>
          <w:lang w:val="uk-UA"/>
        </w:rPr>
        <w:tab/>
        <w:t xml:space="preserve">Травматизм </w:t>
      </w:r>
      <w:r w:rsidR="00D04681">
        <w:rPr>
          <w:lang w:val="uk-UA"/>
        </w:rPr>
        <w:t>та безпечне середовище</w:t>
      </w:r>
    </w:p>
    <w:p w:rsidR="00D04681" w:rsidRDefault="00A007F8" w:rsidP="00A007F8">
      <w:pPr>
        <w:pStyle w:val="SingleTxtGR"/>
        <w:rPr>
          <w:lang w:val="uk-UA"/>
        </w:rPr>
      </w:pPr>
      <w:r w:rsidRPr="00B96930">
        <w:rPr>
          <w:lang w:val="uk-UA"/>
        </w:rPr>
        <w:t>65.</w:t>
      </w:r>
      <w:r w:rsidRPr="00B96930">
        <w:rPr>
          <w:lang w:val="uk-UA"/>
        </w:rPr>
        <w:tab/>
      </w:r>
      <w:r w:rsidR="00D04681" w:rsidRPr="00D04681">
        <w:rPr>
          <w:lang w:val="uk-UA"/>
        </w:rPr>
        <w:t>Най</w:t>
      </w:r>
      <w:r w:rsidR="00D04681">
        <w:rPr>
          <w:lang w:val="uk-UA"/>
        </w:rPr>
        <w:t xml:space="preserve">поширенішою </w:t>
      </w:r>
      <w:r w:rsidR="00D04681" w:rsidRPr="00D04681">
        <w:rPr>
          <w:lang w:val="uk-UA"/>
        </w:rPr>
        <w:t xml:space="preserve">причиною смерті та інвалідності серед підлітків є травми, отримані в результаті нещасних випадків або насильства. Більшість </w:t>
      </w:r>
      <w:r w:rsidR="00D04681">
        <w:rPr>
          <w:lang w:val="uk-UA"/>
        </w:rPr>
        <w:t xml:space="preserve">таких </w:t>
      </w:r>
      <w:r w:rsidR="00D04681" w:rsidRPr="00D04681">
        <w:rPr>
          <w:lang w:val="uk-UA"/>
        </w:rPr>
        <w:t xml:space="preserve">травм припадає на дорожньо-транспортні пригоди, утоплення, опіки, падіння і отруєння. З метою зниження ризику державам-учасницям </w:t>
      </w:r>
      <w:r w:rsidR="00D04681">
        <w:rPr>
          <w:lang w:val="uk-UA"/>
        </w:rPr>
        <w:t xml:space="preserve">необхідно </w:t>
      </w:r>
      <w:r w:rsidR="00D04681" w:rsidRPr="00D04681">
        <w:rPr>
          <w:lang w:val="uk-UA"/>
        </w:rPr>
        <w:t>розробити між</w:t>
      </w:r>
      <w:r w:rsidR="00D04681">
        <w:rPr>
          <w:lang w:val="uk-UA"/>
        </w:rPr>
        <w:t xml:space="preserve">галузеві </w:t>
      </w:r>
      <w:r w:rsidR="00D04681" w:rsidRPr="00D04681">
        <w:rPr>
          <w:lang w:val="uk-UA"/>
        </w:rPr>
        <w:t xml:space="preserve">стратегії, які </w:t>
      </w:r>
      <w:r w:rsidR="00D04681">
        <w:rPr>
          <w:lang w:val="uk-UA"/>
        </w:rPr>
        <w:t xml:space="preserve">б </w:t>
      </w:r>
      <w:r w:rsidR="00D04681" w:rsidRPr="00D04681">
        <w:rPr>
          <w:lang w:val="uk-UA"/>
        </w:rPr>
        <w:t>включали законодавство</w:t>
      </w:r>
      <w:r w:rsidR="00D04681">
        <w:rPr>
          <w:lang w:val="uk-UA"/>
        </w:rPr>
        <w:t xml:space="preserve"> з вимогою </w:t>
      </w:r>
      <w:r w:rsidR="00D04681" w:rsidRPr="00D04681">
        <w:rPr>
          <w:lang w:val="uk-UA"/>
        </w:rPr>
        <w:t xml:space="preserve">використання захисних засобів, політику щодо управління </w:t>
      </w:r>
      <w:r w:rsidR="00D04681">
        <w:rPr>
          <w:lang w:val="uk-UA"/>
        </w:rPr>
        <w:t>транспортним засобом в стані сп’</w:t>
      </w:r>
      <w:r w:rsidR="00D04681" w:rsidRPr="00D04681">
        <w:rPr>
          <w:lang w:val="uk-UA"/>
        </w:rPr>
        <w:t xml:space="preserve">яніння і видачі </w:t>
      </w:r>
      <w:r w:rsidR="00D04681">
        <w:rPr>
          <w:lang w:val="uk-UA"/>
        </w:rPr>
        <w:t xml:space="preserve">водійських </w:t>
      </w:r>
      <w:r w:rsidR="00D04681" w:rsidRPr="00D04681">
        <w:rPr>
          <w:lang w:val="uk-UA"/>
        </w:rPr>
        <w:t xml:space="preserve">прав, програми </w:t>
      </w:r>
      <w:r w:rsidR="00D04681">
        <w:rPr>
          <w:lang w:val="uk-UA"/>
        </w:rPr>
        <w:t>навчання</w:t>
      </w:r>
      <w:r w:rsidR="00D04681" w:rsidRPr="00D04681">
        <w:rPr>
          <w:lang w:val="uk-UA"/>
        </w:rPr>
        <w:t>, розвитку навичок і зміни поведінки, адаптації до навколишньо</w:t>
      </w:r>
      <w:r w:rsidR="00D04681">
        <w:rPr>
          <w:lang w:val="uk-UA"/>
        </w:rPr>
        <w:t>го середовища</w:t>
      </w:r>
      <w:r w:rsidR="00D04681" w:rsidRPr="00D04681">
        <w:rPr>
          <w:lang w:val="uk-UA"/>
        </w:rPr>
        <w:t xml:space="preserve">, а також надання послуг з догляду та реабілітації для </w:t>
      </w:r>
      <w:r w:rsidR="00D04681">
        <w:rPr>
          <w:lang w:val="uk-UA"/>
        </w:rPr>
        <w:t xml:space="preserve">травмованих. </w:t>
      </w:r>
    </w:p>
    <w:p w:rsidR="00A007F8" w:rsidRPr="00B96930" w:rsidRDefault="00D04681" w:rsidP="0067613A">
      <w:pPr>
        <w:pStyle w:val="H23G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Належний рівень життя </w:t>
      </w:r>
    </w:p>
    <w:p w:rsidR="003B2942" w:rsidRDefault="00A007F8" w:rsidP="00A007F8">
      <w:pPr>
        <w:pStyle w:val="SingleTxtGR"/>
        <w:rPr>
          <w:lang w:val="uk-UA"/>
        </w:rPr>
      </w:pPr>
      <w:r w:rsidRPr="00B96930">
        <w:rPr>
          <w:lang w:val="uk-UA"/>
        </w:rPr>
        <w:t>66.</w:t>
      </w:r>
      <w:r w:rsidRPr="00B96930">
        <w:rPr>
          <w:lang w:val="uk-UA"/>
        </w:rPr>
        <w:tab/>
      </w:r>
      <w:r w:rsidR="003B2942" w:rsidRPr="003B2942">
        <w:rPr>
          <w:lang w:val="uk-UA"/>
        </w:rPr>
        <w:t xml:space="preserve">Вплив бідності </w:t>
      </w:r>
      <w:r w:rsidR="003B2942">
        <w:rPr>
          <w:lang w:val="uk-UA"/>
        </w:rPr>
        <w:t xml:space="preserve">у підлітковому віці </w:t>
      </w:r>
      <w:r w:rsidR="003B2942" w:rsidRPr="003B2942">
        <w:rPr>
          <w:lang w:val="uk-UA"/>
        </w:rPr>
        <w:t>має далекосяжні наслідки</w:t>
      </w:r>
      <w:r w:rsidR="003B2942">
        <w:rPr>
          <w:lang w:val="uk-UA"/>
        </w:rPr>
        <w:t xml:space="preserve">, нерідко призводячи до </w:t>
      </w:r>
      <w:r w:rsidR="003B2942" w:rsidRPr="003B2942">
        <w:rPr>
          <w:lang w:val="uk-UA"/>
        </w:rPr>
        <w:t>стану крайнього стресу і відсутності безпеки</w:t>
      </w:r>
      <w:r w:rsidR="003B2942">
        <w:rPr>
          <w:lang w:val="uk-UA"/>
        </w:rPr>
        <w:t xml:space="preserve">, а також </w:t>
      </w:r>
      <w:r w:rsidR="003B2942" w:rsidRPr="003B2942">
        <w:rPr>
          <w:lang w:val="uk-UA"/>
        </w:rPr>
        <w:t>до соціально</w:t>
      </w:r>
      <w:r w:rsidR="003B2942">
        <w:rPr>
          <w:lang w:val="uk-UA"/>
        </w:rPr>
        <w:t xml:space="preserve">го </w:t>
      </w:r>
      <w:r w:rsidR="003B2942" w:rsidRPr="003B2942">
        <w:rPr>
          <w:lang w:val="uk-UA"/>
        </w:rPr>
        <w:t>і політично</w:t>
      </w:r>
      <w:r w:rsidR="003B2942">
        <w:rPr>
          <w:lang w:val="uk-UA"/>
        </w:rPr>
        <w:t>го виключення</w:t>
      </w:r>
      <w:r w:rsidR="003B2942" w:rsidRPr="003B2942">
        <w:rPr>
          <w:lang w:val="uk-UA"/>
        </w:rPr>
        <w:t xml:space="preserve">. </w:t>
      </w:r>
      <w:r w:rsidR="003B2942">
        <w:rPr>
          <w:lang w:val="uk-UA"/>
        </w:rPr>
        <w:t>Нав’язані ззовні чи самостійно обрані підлітками стратегії долання економічних труднощів можуть включати в себе залишення школи, дитячий чи примусовий шлюб</w:t>
      </w:r>
      <w:r w:rsidR="003B2942" w:rsidRPr="003B2942">
        <w:rPr>
          <w:lang w:val="uk-UA"/>
        </w:rPr>
        <w:t xml:space="preserve">, </w:t>
      </w:r>
      <w:r w:rsidR="003B2942">
        <w:rPr>
          <w:lang w:val="uk-UA"/>
        </w:rPr>
        <w:t xml:space="preserve">втягнення в </w:t>
      </w:r>
      <w:r w:rsidR="003B2942" w:rsidRPr="003B2942">
        <w:rPr>
          <w:lang w:val="uk-UA"/>
        </w:rPr>
        <w:t>с</w:t>
      </w:r>
      <w:r w:rsidR="003B2942">
        <w:rPr>
          <w:lang w:val="uk-UA"/>
        </w:rPr>
        <w:t>ексуальну експлуатацію, торгівлю людьми, роботу, пов’язану</w:t>
      </w:r>
      <w:r w:rsidR="003B2942" w:rsidRPr="003B2942">
        <w:rPr>
          <w:lang w:val="uk-UA"/>
        </w:rPr>
        <w:t xml:space="preserve"> з підвищеною небезпек</w:t>
      </w:r>
      <w:r w:rsidR="003B2942">
        <w:rPr>
          <w:lang w:val="uk-UA"/>
        </w:rPr>
        <w:t>ою чи експлуатацією, або роботу</w:t>
      </w:r>
      <w:r w:rsidR="003B2942" w:rsidRPr="003B2942">
        <w:rPr>
          <w:lang w:val="uk-UA"/>
        </w:rPr>
        <w:t xml:space="preserve">, що заважає </w:t>
      </w:r>
      <w:r w:rsidR="003B2942">
        <w:rPr>
          <w:lang w:val="uk-UA"/>
        </w:rPr>
        <w:t xml:space="preserve">навчанню, вступ у вуличну банду чи збройне формування, а також міграцію. </w:t>
      </w:r>
    </w:p>
    <w:p w:rsidR="00A007F8" w:rsidRPr="00B96930" w:rsidRDefault="00A007F8" w:rsidP="00A007F8">
      <w:pPr>
        <w:pStyle w:val="SingleTxtGR"/>
        <w:rPr>
          <w:lang w:val="uk-UA"/>
        </w:rPr>
      </w:pPr>
      <w:r w:rsidRPr="00B96930">
        <w:rPr>
          <w:lang w:val="uk-UA"/>
        </w:rPr>
        <w:t>67.</w:t>
      </w:r>
      <w:r w:rsidRPr="00B96930">
        <w:rPr>
          <w:lang w:val="uk-UA"/>
        </w:rPr>
        <w:tab/>
      </w:r>
      <w:r w:rsidR="003B2942">
        <w:rPr>
          <w:lang w:val="uk-UA"/>
        </w:rPr>
        <w:t>Держави повинні пам’</w:t>
      </w:r>
      <w:r w:rsidR="003B2942" w:rsidRPr="003B2942">
        <w:rPr>
          <w:lang w:val="uk-UA"/>
        </w:rPr>
        <w:t xml:space="preserve">ятати про право кожної дитини на належний рівень життя для </w:t>
      </w:r>
      <w:r w:rsidR="003B2942">
        <w:rPr>
          <w:lang w:val="uk-UA"/>
        </w:rPr>
        <w:t xml:space="preserve">її </w:t>
      </w:r>
      <w:r w:rsidR="003B2942" w:rsidRPr="003B2942">
        <w:rPr>
          <w:lang w:val="uk-UA"/>
        </w:rPr>
        <w:t>фізичного, розумового, духовного, мора</w:t>
      </w:r>
      <w:r w:rsidR="003B2942">
        <w:rPr>
          <w:lang w:val="uk-UA"/>
        </w:rPr>
        <w:t xml:space="preserve">льного і соціального розвитку, тому Комітет закликає держави </w:t>
      </w:r>
      <w:r w:rsidR="003B2942" w:rsidRPr="003B2942">
        <w:rPr>
          <w:lang w:val="uk-UA"/>
        </w:rPr>
        <w:t>встанов</w:t>
      </w:r>
      <w:r w:rsidR="003B2942">
        <w:rPr>
          <w:lang w:val="uk-UA"/>
        </w:rPr>
        <w:t xml:space="preserve">лювати </w:t>
      </w:r>
      <w:r w:rsidR="003B2942" w:rsidRPr="003B2942">
        <w:rPr>
          <w:lang w:val="uk-UA"/>
        </w:rPr>
        <w:t xml:space="preserve">мінімальні рівні соціального захисту, які </w:t>
      </w:r>
      <w:r w:rsidR="003B2942">
        <w:rPr>
          <w:lang w:val="uk-UA"/>
        </w:rPr>
        <w:t xml:space="preserve">б забезпечували </w:t>
      </w:r>
      <w:r w:rsidR="003B2942" w:rsidRPr="003B2942">
        <w:rPr>
          <w:lang w:val="uk-UA"/>
        </w:rPr>
        <w:t>підліткам та їх</w:t>
      </w:r>
      <w:r w:rsidR="003B2942">
        <w:rPr>
          <w:lang w:val="uk-UA"/>
        </w:rPr>
        <w:t>нім родинам базовий гарантований дохід</w:t>
      </w:r>
      <w:r w:rsidR="003B2942" w:rsidRPr="003B2942">
        <w:rPr>
          <w:lang w:val="uk-UA"/>
        </w:rPr>
        <w:t>, захист від економічних потрясінь і тривалих економічних криз</w:t>
      </w:r>
      <w:r w:rsidR="003B2942">
        <w:rPr>
          <w:lang w:val="uk-UA"/>
        </w:rPr>
        <w:t xml:space="preserve">, а також </w:t>
      </w:r>
      <w:r w:rsidR="003B2942" w:rsidRPr="003B2942">
        <w:rPr>
          <w:lang w:val="uk-UA"/>
        </w:rPr>
        <w:t>доступ до соціальних послуг</w:t>
      </w:r>
      <w:r w:rsidRPr="00B96930">
        <w:rPr>
          <w:lang w:val="uk-UA"/>
        </w:rPr>
        <w:t xml:space="preserve">. </w:t>
      </w:r>
    </w:p>
    <w:p w:rsidR="00A007F8" w:rsidRPr="00BC0BFE" w:rsidRDefault="00A007F8" w:rsidP="0067613A">
      <w:pPr>
        <w:pStyle w:val="HChGR"/>
        <w:rPr>
          <w:lang w:val="uk-UA"/>
        </w:rPr>
      </w:pPr>
      <w:r w:rsidRPr="00A007F8">
        <w:lastRenderedPageBreak/>
        <w:tab/>
      </w:r>
      <w:r w:rsidRPr="00BC0BFE">
        <w:rPr>
          <w:lang w:val="uk-UA"/>
        </w:rPr>
        <w:t>XII.</w:t>
      </w:r>
      <w:r w:rsidRPr="00BC0BFE">
        <w:rPr>
          <w:lang w:val="uk-UA"/>
        </w:rPr>
        <w:tab/>
        <w:t>О</w:t>
      </w:r>
      <w:r w:rsidR="00BC0BFE">
        <w:rPr>
          <w:lang w:val="uk-UA"/>
        </w:rPr>
        <w:t>світа, дозвілля та культурна діяльність</w:t>
      </w:r>
      <w:bookmarkStart w:id="15" w:name="_Toc468797247"/>
      <w:bookmarkEnd w:id="15"/>
    </w:p>
    <w:p w:rsidR="00A007F8" w:rsidRPr="00BC0BFE" w:rsidRDefault="00A007F8" w:rsidP="0067613A">
      <w:pPr>
        <w:pStyle w:val="H23GR"/>
        <w:rPr>
          <w:lang w:val="uk-UA"/>
        </w:rPr>
      </w:pPr>
      <w:r w:rsidRPr="00BC0BFE">
        <w:rPr>
          <w:lang w:val="uk-UA"/>
        </w:rPr>
        <w:tab/>
      </w:r>
      <w:r w:rsidRPr="00BC0BFE">
        <w:rPr>
          <w:lang w:val="uk-UA"/>
        </w:rPr>
        <w:tab/>
        <w:t>О</w:t>
      </w:r>
      <w:r w:rsidR="00BC0BFE">
        <w:rPr>
          <w:lang w:val="uk-UA"/>
        </w:rPr>
        <w:t>світа</w:t>
      </w:r>
    </w:p>
    <w:p w:rsidR="00A007F8" w:rsidRPr="00BC0BFE" w:rsidRDefault="00A007F8" w:rsidP="00A96631">
      <w:pPr>
        <w:pStyle w:val="SingleTxtGR"/>
        <w:rPr>
          <w:lang w:val="uk-UA"/>
        </w:rPr>
      </w:pPr>
      <w:r w:rsidRPr="00BC0BFE">
        <w:rPr>
          <w:lang w:val="uk-UA"/>
        </w:rPr>
        <w:t>68.</w:t>
      </w:r>
      <w:r w:rsidRPr="00BC0BFE">
        <w:rPr>
          <w:lang w:val="uk-UA"/>
        </w:rPr>
        <w:tab/>
      </w:r>
      <w:r w:rsidR="00A96631" w:rsidRPr="00A96631">
        <w:rPr>
          <w:lang w:val="uk-UA"/>
        </w:rPr>
        <w:t>Гарант</w:t>
      </w:r>
      <w:r w:rsidR="00A96631">
        <w:rPr>
          <w:lang w:val="uk-UA"/>
        </w:rPr>
        <w:t>ування права на загальну,</w:t>
      </w:r>
      <w:r w:rsidR="00A96631" w:rsidRPr="00A96631">
        <w:rPr>
          <w:lang w:val="uk-UA"/>
        </w:rPr>
        <w:t xml:space="preserve"> якісн</w:t>
      </w:r>
      <w:r w:rsidR="00A96631">
        <w:rPr>
          <w:lang w:val="uk-UA"/>
        </w:rPr>
        <w:t xml:space="preserve">у та інклюзивну освіту і підготовку </w:t>
      </w:r>
      <w:r w:rsidR="00A96631" w:rsidRPr="00A96631">
        <w:rPr>
          <w:lang w:val="uk-UA"/>
        </w:rPr>
        <w:t>є най</w:t>
      </w:r>
      <w:r w:rsidR="00A96631">
        <w:rPr>
          <w:lang w:val="uk-UA"/>
        </w:rPr>
        <w:t xml:space="preserve">важливішою окремою політичною інвестицією держави для </w:t>
      </w:r>
      <w:r w:rsidR="00A96631" w:rsidRPr="00A96631">
        <w:rPr>
          <w:lang w:val="uk-UA"/>
        </w:rPr>
        <w:t xml:space="preserve">забезпечення негайного і довгострокового розвитку підлітків, </w:t>
      </w:r>
      <w:r w:rsidR="00A96631">
        <w:rPr>
          <w:lang w:val="uk-UA"/>
        </w:rPr>
        <w:t xml:space="preserve">адже про позитивний вплив освіти – зокрема, середньої – свідчить дедалі більше </w:t>
      </w:r>
      <w:r w:rsidR="00A96631" w:rsidRPr="00A96631">
        <w:rPr>
          <w:lang w:val="uk-UA"/>
        </w:rPr>
        <w:t>фактів</w:t>
      </w:r>
      <w:r w:rsidR="00A96631" w:rsidRPr="00BC0BFE">
        <w:rPr>
          <w:sz w:val="18"/>
          <w:vertAlign w:val="superscript"/>
          <w:lang w:val="uk-UA"/>
        </w:rPr>
        <w:footnoteReference w:id="31"/>
      </w:r>
      <w:r w:rsidR="00A96631">
        <w:rPr>
          <w:lang w:val="uk-UA"/>
        </w:rPr>
        <w:t xml:space="preserve">. Державам рекомендується невідкладно впроваджувати максимально доступну середню освіту для всіх, і за допомогою наявних засобів </w:t>
      </w:r>
      <w:r w:rsidR="00A96631" w:rsidRPr="00A96631">
        <w:rPr>
          <w:lang w:val="uk-UA"/>
        </w:rPr>
        <w:t>домагатися</w:t>
      </w:r>
      <w:r w:rsidR="00A96631">
        <w:rPr>
          <w:lang w:val="uk-UA"/>
        </w:rPr>
        <w:t>, наскільки це можливо,</w:t>
      </w:r>
      <w:r w:rsidR="00A96631" w:rsidRPr="00A96631">
        <w:rPr>
          <w:lang w:val="uk-UA"/>
        </w:rPr>
        <w:t xml:space="preserve"> д</w:t>
      </w:r>
      <w:r w:rsidR="00A96631">
        <w:rPr>
          <w:lang w:val="uk-UA"/>
        </w:rPr>
        <w:t>оступності вищої освіти</w:t>
      </w:r>
      <w:r w:rsidRPr="00BC0BFE">
        <w:rPr>
          <w:lang w:val="uk-UA"/>
        </w:rPr>
        <w:t xml:space="preserve">. </w:t>
      </w:r>
    </w:p>
    <w:p w:rsidR="00A96631" w:rsidRDefault="00A007F8" w:rsidP="00A007F8">
      <w:pPr>
        <w:pStyle w:val="SingleTxtGR"/>
        <w:rPr>
          <w:lang w:val="uk-UA"/>
        </w:rPr>
      </w:pPr>
      <w:r w:rsidRPr="00BC0BFE">
        <w:rPr>
          <w:lang w:val="uk-UA"/>
        </w:rPr>
        <w:t>69.</w:t>
      </w:r>
      <w:r w:rsidRPr="00BC0BFE">
        <w:rPr>
          <w:lang w:val="uk-UA"/>
        </w:rPr>
        <w:tab/>
      </w:r>
      <w:r w:rsidR="00A96631" w:rsidRPr="00A96631">
        <w:rPr>
          <w:lang w:val="uk-UA"/>
        </w:rPr>
        <w:t xml:space="preserve">Комітет </w:t>
      </w:r>
      <w:r w:rsidR="00A96631">
        <w:rPr>
          <w:lang w:val="uk-UA"/>
        </w:rPr>
        <w:t>глибоко</w:t>
      </w:r>
      <w:r w:rsidR="00A96631" w:rsidRPr="00A96631">
        <w:rPr>
          <w:lang w:val="uk-UA"/>
        </w:rPr>
        <w:t xml:space="preserve"> стурбован</w:t>
      </w:r>
      <w:r w:rsidR="00A96631">
        <w:rPr>
          <w:lang w:val="uk-UA"/>
        </w:rPr>
        <w:t>ий труднощами</w:t>
      </w:r>
      <w:r w:rsidR="00A96631" w:rsidRPr="00A96631">
        <w:rPr>
          <w:lang w:val="uk-UA"/>
        </w:rPr>
        <w:t xml:space="preserve">, з якими стикаються багато держав в спробах досягти рівності в </w:t>
      </w:r>
      <w:r w:rsidR="00A96631">
        <w:rPr>
          <w:lang w:val="uk-UA"/>
        </w:rPr>
        <w:t xml:space="preserve">зарахуванні до шкіл </w:t>
      </w:r>
      <w:r w:rsidR="00A96631" w:rsidRPr="00A96631">
        <w:rPr>
          <w:lang w:val="uk-UA"/>
        </w:rPr>
        <w:t>дівчаток і хлопчиків</w:t>
      </w:r>
      <w:r w:rsidR="00A96631">
        <w:rPr>
          <w:lang w:val="uk-UA"/>
        </w:rPr>
        <w:t>, а також утримати дівчаток у</w:t>
      </w:r>
      <w:r w:rsidR="00A96631" w:rsidRPr="00A96631">
        <w:rPr>
          <w:lang w:val="uk-UA"/>
        </w:rPr>
        <w:t xml:space="preserve"> школі після за</w:t>
      </w:r>
      <w:r w:rsidR="00A96631">
        <w:rPr>
          <w:lang w:val="uk-UA"/>
        </w:rPr>
        <w:t xml:space="preserve">кінчення </w:t>
      </w:r>
      <w:r w:rsidR="00A96631" w:rsidRPr="00A96631">
        <w:rPr>
          <w:lang w:val="uk-UA"/>
        </w:rPr>
        <w:t xml:space="preserve">ними початкової освіти. </w:t>
      </w:r>
      <w:r w:rsidR="00A96631">
        <w:rPr>
          <w:lang w:val="uk-UA"/>
        </w:rPr>
        <w:t xml:space="preserve">Інвестиції </w:t>
      </w:r>
      <w:proofErr w:type="spellStart"/>
      <w:r w:rsidR="00A96631">
        <w:rPr>
          <w:lang w:val="uk-UA"/>
        </w:rPr>
        <w:t xml:space="preserve">в </w:t>
      </w:r>
      <w:r w:rsidR="00A96631" w:rsidRPr="00A96631">
        <w:rPr>
          <w:lang w:val="uk-UA"/>
        </w:rPr>
        <w:t>сере</w:t>
      </w:r>
      <w:proofErr w:type="spellEnd"/>
      <w:r w:rsidR="00A96631" w:rsidRPr="00A96631">
        <w:rPr>
          <w:lang w:val="uk-UA"/>
        </w:rPr>
        <w:t>дню освіту для дівчаток</w:t>
      </w:r>
      <w:r w:rsidR="00A96631">
        <w:rPr>
          <w:lang w:val="uk-UA"/>
        </w:rPr>
        <w:t xml:space="preserve"> – зобов’язання на виконання С</w:t>
      </w:r>
      <w:r w:rsidR="00A96631" w:rsidRPr="00A96631">
        <w:rPr>
          <w:lang w:val="uk-UA"/>
        </w:rPr>
        <w:t>татей 2, 6 і 28 Конвенції</w:t>
      </w:r>
      <w:r w:rsidR="00A96631">
        <w:rPr>
          <w:lang w:val="uk-UA"/>
        </w:rPr>
        <w:t xml:space="preserve"> – також здатне </w:t>
      </w:r>
      <w:r w:rsidR="00A96631" w:rsidRPr="00A96631">
        <w:rPr>
          <w:lang w:val="uk-UA"/>
        </w:rPr>
        <w:t>захистити дівчаток від дитяч</w:t>
      </w:r>
      <w:r w:rsidR="00A96631">
        <w:rPr>
          <w:lang w:val="uk-UA"/>
        </w:rPr>
        <w:t>их та примусових шлюбів</w:t>
      </w:r>
      <w:r w:rsidR="00A96631" w:rsidRPr="00A96631">
        <w:rPr>
          <w:lang w:val="uk-UA"/>
        </w:rPr>
        <w:t xml:space="preserve">, сексуальної експлуатації і </w:t>
      </w:r>
      <w:r w:rsidR="00A96631">
        <w:rPr>
          <w:lang w:val="uk-UA"/>
        </w:rPr>
        <w:t xml:space="preserve">ранньої </w:t>
      </w:r>
      <w:r w:rsidR="00A96631" w:rsidRPr="00A96631">
        <w:rPr>
          <w:lang w:val="uk-UA"/>
        </w:rPr>
        <w:t>вагітності</w:t>
      </w:r>
      <w:r w:rsidR="00A96631">
        <w:rPr>
          <w:lang w:val="uk-UA"/>
        </w:rPr>
        <w:t>,</w:t>
      </w:r>
      <w:r w:rsidR="00A96631" w:rsidRPr="00A96631">
        <w:rPr>
          <w:lang w:val="uk-UA"/>
        </w:rPr>
        <w:t xml:space="preserve"> </w:t>
      </w:r>
      <w:r w:rsidR="00A96631">
        <w:rPr>
          <w:lang w:val="uk-UA"/>
        </w:rPr>
        <w:t xml:space="preserve">значною мірою сприяючи нарощуванню </w:t>
      </w:r>
      <w:r w:rsidR="00A96631" w:rsidRPr="00A96631">
        <w:rPr>
          <w:lang w:val="uk-UA"/>
        </w:rPr>
        <w:t xml:space="preserve">майбутнього економічного потенціалу дівчаток і їхніх дітей. </w:t>
      </w:r>
      <w:r w:rsidR="00A96631">
        <w:rPr>
          <w:lang w:val="uk-UA"/>
        </w:rPr>
        <w:t>Сили і кошти також необхідно вкладати в стратегії</w:t>
      </w:r>
      <w:r w:rsidR="00A96631" w:rsidRPr="00A96631">
        <w:rPr>
          <w:lang w:val="uk-UA"/>
        </w:rPr>
        <w:t xml:space="preserve">, </w:t>
      </w:r>
      <w:r w:rsidR="00A96631">
        <w:rPr>
          <w:lang w:val="uk-UA"/>
        </w:rPr>
        <w:t xml:space="preserve">що пропагують </w:t>
      </w:r>
      <w:r w:rsidR="00A96631" w:rsidRPr="00A96631">
        <w:rPr>
          <w:lang w:val="uk-UA"/>
        </w:rPr>
        <w:t>позитивн</w:t>
      </w:r>
      <w:r w:rsidR="00A96631">
        <w:rPr>
          <w:lang w:val="uk-UA"/>
        </w:rPr>
        <w:t xml:space="preserve">і ґендерні </w:t>
      </w:r>
      <w:r w:rsidR="00A96631" w:rsidRPr="00A96631">
        <w:rPr>
          <w:lang w:val="uk-UA"/>
        </w:rPr>
        <w:t>відносин</w:t>
      </w:r>
      <w:r w:rsidR="00A96631">
        <w:rPr>
          <w:lang w:val="uk-UA"/>
        </w:rPr>
        <w:t>и</w:t>
      </w:r>
      <w:r w:rsidR="00A96631" w:rsidRPr="00A96631">
        <w:rPr>
          <w:lang w:val="uk-UA"/>
        </w:rPr>
        <w:t xml:space="preserve"> і соціальн</w:t>
      </w:r>
      <w:r w:rsidR="00A96631">
        <w:rPr>
          <w:lang w:val="uk-UA"/>
        </w:rPr>
        <w:t xml:space="preserve">і </w:t>
      </w:r>
      <w:r w:rsidR="00A96631" w:rsidRPr="00A96631">
        <w:rPr>
          <w:lang w:val="uk-UA"/>
        </w:rPr>
        <w:t>норм</w:t>
      </w:r>
      <w:r w:rsidR="00A96631">
        <w:rPr>
          <w:lang w:val="uk-UA"/>
        </w:rPr>
        <w:t>и</w:t>
      </w:r>
      <w:r w:rsidR="00A96631" w:rsidRPr="00A96631">
        <w:rPr>
          <w:lang w:val="uk-UA"/>
        </w:rPr>
        <w:t xml:space="preserve">; </w:t>
      </w:r>
      <w:r w:rsidR="00A96631">
        <w:rPr>
          <w:lang w:val="uk-UA"/>
        </w:rPr>
        <w:t>сприяють вирішенню</w:t>
      </w:r>
      <w:r w:rsidR="00A96631" w:rsidRPr="00A96631">
        <w:rPr>
          <w:lang w:val="uk-UA"/>
        </w:rPr>
        <w:t xml:space="preserve"> проблем сексуального </w:t>
      </w:r>
      <w:r w:rsidR="00A96631">
        <w:rPr>
          <w:lang w:val="uk-UA"/>
        </w:rPr>
        <w:t xml:space="preserve">та </w:t>
      </w:r>
      <w:proofErr w:type="spellStart"/>
      <w:r w:rsidR="00A96631">
        <w:rPr>
          <w:lang w:val="uk-UA"/>
        </w:rPr>
        <w:t>ґендерно</w:t>
      </w:r>
      <w:proofErr w:type="spellEnd"/>
      <w:r w:rsidR="00A96631">
        <w:rPr>
          <w:lang w:val="uk-UA"/>
        </w:rPr>
        <w:t xml:space="preserve">-обумовленого </w:t>
      </w:r>
      <w:r w:rsidR="00A96631" w:rsidRPr="00A96631">
        <w:rPr>
          <w:lang w:val="uk-UA"/>
        </w:rPr>
        <w:t xml:space="preserve">насильства, в тому числі в школах; і заохочують позитивні приклади </w:t>
      </w:r>
      <w:r w:rsidR="00A96631">
        <w:rPr>
          <w:lang w:val="uk-UA"/>
        </w:rPr>
        <w:t>для наслідування, підтримку сім’</w:t>
      </w:r>
      <w:r w:rsidR="00A96631" w:rsidRPr="00A96631">
        <w:rPr>
          <w:lang w:val="uk-UA"/>
        </w:rPr>
        <w:t>ї і розширення економічних прав та можливостей жінок з метою подолання правових, політичних, культурни</w:t>
      </w:r>
      <w:r w:rsidR="00A96631">
        <w:rPr>
          <w:lang w:val="uk-UA"/>
        </w:rPr>
        <w:t>х, економічних і соціальних бар’</w:t>
      </w:r>
      <w:r w:rsidR="00A96631" w:rsidRPr="00A96631">
        <w:rPr>
          <w:lang w:val="uk-UA"/>
        </w:rPr>
        <w:t>єрів</w:t>
      </w:r>
      <w:r w:rsidR="00A96631">
        <w:rPr>
          <w:lang w:val="uk-UA"/>
        </w:rPr>
        <w:t xml:space="preserve">, насамперед </w:t>
      </w:r>
      <w:r w:rsidR="00A96631" w:rsidRPr="00A96631">
        <w:rPr>
          <w:lang w:val="uk-UA"/>
        </w:rPr>
        <w:t>для дівчаток. Крім того, державам слід визнати</w:t>
      </w:r>
      <w:r w:rsidR="00A96631">
        <w:rPr>
          <w:lang w:val="uk-UA"/>
        </w:rPr>
        <w:t xml:space="preserve"> той факт</w:t>
      </w:r>
      <w:r w:rsidR="00A96631" w:rsidRPr="00A96631">
        <w:rPr>
          <w:lang w:val="uk-UA"/>
        </w:rPr>
        <w:t xml:space="preserve">, що </w:t>
      </w:r>
      <w:r w:rsidR="00A96631">
        <w:rPr>
          <w:lang w:val="uk-UA"/>
        </w:rPr>
        <w:t xml:space="preserve">дедалі </w:t>
      </w:r>
      <w:r w:rsidR="00A96631" w:rsidRPr="00A96631">
        <w:rPr>
          <w:lang w:val="uk-UA"/>
        </w:rPr>
        <w:t xml:space="preserve">більше хлопчиків не </w:t>
      </w:r>
      <w:r w:rsidR="00A96631">
        <w:rPr>
          <w:lang w:val="uk-UA"/>
        </w:rPr>
        <w:t xml:space="preserve">йдуть </w:t>
      </w:r>
      <w:r w:rsidR="00A96631" w:rsidRPr="00A96631">
        <w:rPr>
          <w:lang w:val="uk-UA"/>
        </w:rPr>
        <w:t xml:space="preserve">до школи і не залишаються </w:t>
      </w:r>
      <w:r w:rsidR="00A96631">
        <w:rPr>
          <w:lang w:val="uk-UA"/>
        </w:rPr>
        <w:t>там</w:t>
      </w:r>
      <w:r w:rsidR="00A96631" w:rsidRPr="00A96631">
        <w:rPr>
          <w:lang w:val="uk-UA"/>
        </w:rPr>
        <w:t xml:space="preserve">, </w:t>
      </w:r>
      <w:r w:rsidR="00A96631">
        <w:rPr>
          <w:lang w:val="uk-UA"/>
        </w:rPr>
        <w:t xml:space="preserve">з’ясувати </w:t>
      </w:r>
      <w:r w:rsidR="00A96631" w:rsidRPr="00A96631">
        <w:rPr>
          <w:lang w:val="uk-UA"/>
        </w:rPr>
        <w:t xml:space="preserve">причини цього </w:t>
      </w:r>
      <w:r w:rsidR="00A96631">
        <w:rPr>
          <w:lang w:val="uk-UA"/>
        </w:rPr>
        <w:t xml:space="preserve">явища, та </w:t>
      </w:r>
      <w:r w:rsidR="00A96631" w:rsidRPr="00A96631">
        <w:rPr>
          <w:lang w:val="uk-UA"/>
        </w:rPr>
        <w:t>вжити н</w:t>
      </w:r>
      <w:r w:rsidR="00A96631">
        <w:rPr>
          <w:lang w:val="uk-UA"/>
        </w:rPr>
        <w:t xml:space="preserve">еобхідних </w:t>
      </w:r>
      <w:r w:rsidR="00A96631" w:rsidRPr="00A96631">
        <w:rPr>
          <w:lang w:val="uk-UA"/>
        </w:rPr>
        <w:t xml:space="preserve">заходів </w:t>
      </w:r>
      <w:r w:rsidR="00A96631">
        <w:rPr>
          <w:lang w:val="uk-UA"/>
        </w:rPr>
        <w:t xml:space="preserve">для </w:t>
      </w:r>
      <w:r w:rsidR="00A96631" w:rsidRPr="00A96631">
        <w:rPr>
          <w:lang w:val="uk-UA"/>
        </w:rPr>
        <w:t>підтримки подальшої участі хлопчиків в процесі освіти</w:t>
      </w:r>
      <w:r w:rsidR="00A96631">
        <w:rPr>
          <w:lang w:val="uk-UA"/>
        </w:rPr>
        <w:t xml:space="preserve"> </w:t>
      </w:r>
    </w:p>
    <w:p w:rsidR="00A96631" w:rsidRDefault="00A007F8" w:rsidP="00A007F8">
      <w:pPr>
        <w:pStyle w:val="SingleTxtGR"/>
        <w:rPr>
          <w:lang w:val="uk-UA"/>
        </w:rPr>
      </w:pPr>
      <w:r w:rsidRPr="00BC0BFE">
        <w:rPr>
          <w:lang w:val="uk-UA"/>
        </w:rPr>
        <w:t>70.</w:t>
      </w:r>
      <w:r w:rsidRPr="00BC0BFE">
        <w:rPr>
          <w:lang w:val="uk-UA"/>
        </w:rPr>
        <w:tab/>
      </w:r>
      <w:r w:rsidR="00A96631" w:rsidRPr="00A96631">
        <w:rPr>
          <w:lang w:val="uk-UA"/>
        </w:rPr>
        <w:t>Комітет із занепокоєнням відзначає</w:t>
      </w:r>
      <w:r w:rsidR="00A96631">
        <w:rPr>
          <w:lang w:val="uk-UA"/>
        </w:rPr>
        <w:t xml:space="preserve"> чималу кількість маргіналізованих </w:t>
      </w:r>
      <w:r w:rsidR="00A96631" w:rsidRPr="00A96631">
        <w:rPr>
          <w:lang w:val="uk-UA"/>
        </w:rPr>
        <w:t xml:space="preserve">підлітків, які не мають </w:t>
      </w:r>
      <w:r w:rsidR="00A96631">
        <w:rPr>
          <w:lang w:val="uk-UA"/>
        </w:rPr>
        <w:t xml:space="preserve">чи позбавлені </w:t>
      </w:r>
      <w:r w:rsidR="00A96631" w:rsidRPr="00A96631">
        <w:rPr>
          <w:lang w:val="uk-UA"/>
        </w:rPr>
        <w:t xml:space="preserve">можливості </w:t>
      </w:r>
      <w:r w:rsidR="00A96631">
        <w:rPr>
          <w:lang w:val="uk-UA"/>
        </w:rPr>
        <w:t xml:space="preserve">перейти </w:t>
      </w:r>
      <w:r w:rsidR="00A96631" w:rsidRPr="00A96631">
        <w:rPr>
          <w:lang w:val="uk-UA"/>
        </w:rPr>
        <w:t xml:space="preserve">до середньої освіти, </w:t>
      </w:r>
      <w:r w:rsidR="00A96631">
        <w:rPr>
          <w:lang w:val="uk-UA"/>
        </w:rPr>
        <w:t>а саме підлітки, які живуть в бідності</w:t>
      </w:r>
      <w:r w:rsidR="00A96631" w:rsidRPr="00A96631">
        <w:rPr>
          <w:lang w:val="uk-UA"/>
        </w:rPr>
        <w:t xml:space="preserve">; лесбіянки, гомосексуалісти, </w:t>
      </w:r>
      <w:proofErr w:type="spellStart"/>
      <w:r w:rsidR="00A96631" w:rsidRPr="00A96631">
        <w:rPr>
          <w:lang w:val="uk-UA"/>
        </w:rPr>
        <w:t>бісекс</w:t>
      </w:r>
      <w:r w:rsidR="00A96631">
        <w:rPr>
          <w:lang w:val="uk-UA"/>
        </w:rPr>
        <w:t>уали</w:t>
      </w:r>
      <w:proofErr w:type="spellEnd"/>
      <w:r w:rsidR="00A96631">
        <w:rPr>
          <w:lang w:val="uk-UA"/>
        </w:rPr>
        <w:t xml:space="preserve">, </w:t>
      </w:r>
      <w:proofErr w:type="spellStart"/>
      <w:r w:rsidR="00A96631">
        <w:rPr>
          <w:lang w:val="uk-UA"/>
        </w:rPr>
        <w:t>трансґендери</w:t>
      </w:r>
      <w:proofErr w:type="spellEnd"/>
      <w:r w:rsidR="00A96631">
        <w:rPr>
          <w:lang w:val="uk-UA"/>
        </w:rPr>
        <w:t xml:space="preserve"> та</w:t>
      </w:r>
      <w:r w:rsidR="00A96631" w:rsidRPr="00A96631">
        <w:rPr>
          <w:lang w:val="uk-UA"/>
        </w:rPr>
        <w:t xml:space="preserve"> </w:t>
      </w:r>
      <w:proofErr w:type="spellStart"/>
      <w:r w:rsidR="00A96631" w:rsidRPr="00A96631">
        <w:rPr>
          <w:lang w:val="uk-UA"/>
        </w:rPr>
        <w:t>інтерсексуал</w:t>
      </w:r>
      <w:r w:rsidR="00A96631">
        <w:rPr>
          <w:lang w:val="uk-UA"/>
        </w:rPr>
        <w:t>и</w:t>
      </w:r>
      <w:proofErr w:type="spellEnd"/>
      <w:r w:rsidR="00A96631" w:rsidRPr="00A96631">
        <w:rPr>
          <w:lang w:val="uk-UA"/>
        </w:rPr>
        <w:t xml:space="preserve"> підліткового віку; підлітки</w:t>
      </w:r>
      <w:r w:rsidR="00A96631">
        <w:rPr>
          <w:lang w:val="uk-UA"/>
        </w:rPr>
        <w:t xml:space="preserve"> з числа етнічних меншин; підлітки з психосоціальними</w:t>
      </w:r>
      <w:r w:rsidR="00A96631" w:rsidRPr="00A96631">
        <w:rPr>
          <w:lang w:val="uk-UA"/>
        </w:rPr>
        <w:t>, сенсорними або розумовими вадами; підлітки</w:t>
      </w:r>
      <w:r w:rsidR="00A96631">
        <w:rPr>
          <w:lang w:val="uk-UA"/>
        </w:rPr>
        <w:t>, які мігрують</w:t>
      </w:r>
      <w:r w:rsidR="00A96631" w:rsidRPr="00A96631">
        <w:rPr>
          <w:lang w:val="uk-UA"/>
        </w:rPr>
        <w:t xml:space="preserve">; підлітки в </w:t>
      </w:r>
      <w:r w:rsidR="00A96631">
        <w:rPr>
          <w:lang w:val="uk-UA"/>
        </w:rPr>
        <w:t xml:space="preserve">умовах </w:t>
      </w:r>
      <w:r w:rsidR="00A96631" w:rsidRPr="00A96631">
        <w:rPr>
          <w:lang w:val="uk-UA"/>
        </w:rPr>
        <w:t>збройних</w:t>
      </w:r>
      <w:r w:rsidR="00A96631">
        <w:rPr>
          <w:lang w:val="uk-UA"/>
        </w:rPr>
        <w:t xml:space="preserve"> конфліктів або стихійних лих; а також</w:t>
      </w:r>
      <w:r w:rsidR="00A96631" w:rsidRPr="00A96631">
        <w:rPr>
          <w:lang w:val="uk-UA"/>
        </w:rPr>
        <w:t xml:space="preserve"> підлітки, які живуть на вулиці</w:t>
      </w:r>
      <w:r w:rsidR="00A96631">
        <w:rPr>
          <w:lang w:val="uk-UA"/>
        </w:rPr>
        <w:t xml:space="preserve"> </w:t>
      </w:r>
      <w:r w:rsidR="00A96631" w:rsidRPr="00A96631">
        <w:rPr>
          <w:lang w:val="uk-UA"/>
        </w:rPr>
        <w:t xml:space="preserve">або працюють. </w:t>
      </w:r>
      <w:r w:rsidR="00A96631">
        <w:rPr>
          <w:lang w:val="uk-UA"/>
        </w:rPr>
        <w:t xml:space="preserve">Відтак існує потреба у невідкладних заходах з тим, </w:t>
      </w:r>
      <w:r w:rsidR="00A96631" w:rsidRPr="00A96631">
        <w:rPr>
          <w:lang w:val="uk-UA"/>
        </w:rPr>
        <w:t xml:space="preserve">щоб покласти край дискримінації соціально відчужених груп </w:t>
      </w:r>
      <w:r w:rsidR="00A96631">
        <w:rPr>
          <w:lang w:val="uk-UA"/>
        </w:rPr>
        <w:t xml:space="preserve">щодо </w:t>
      </w:r>
      <w:r w:rsidR="00A96631" w:rsidRPr="00A96631">
        <w:rPr>
          <w:lang w:val="uk-UA"/>
        </w:rPr>
        <w:t xml:space="preserve">отримання доступу до освіти, в тому числі шляхом </w:t>
      </w:r>
      <w:r w:rsidR="00A96631">
        <w:rPr>
          <w:lang w:val="uk-UA"/>
        </w:rPr>
        <w:t xml:space="preserve">запровадження </w:t>
      </w:r>
      <w:r w:rsidR="00A96631" w:rsidRPr="00A96631">
        <w:rPr>
          <w:lang w:val="uk-UA"/>
        </w:rPr>
        <w:t xml:space="preserve">програм грошових </w:t>
      </w:r>
      <w:r w:rsidR="00A96631">
        <w:rPr>
          <w:lang w:val="uk-UA"/>
        </w:rPr>
        <w:t>переказів</w:t>
      </w:r>
      <w:r w:rsidR="00A96631" w:rsidRPr="00A96631">
        <w:rPr>
          <w:lang w:val="uk-UA"/>
        </w:rPr>
        <w:t xml:space="preserve">, </w:t>
      </w:r>
      <w:r w:rsidR="00A96631">
        <w:rPr>
          <w:lang w:val="uk-UA"/>
        </w:rPr>
        <w:t xml:space="preserve">посилення </w:t>
      </w:r>
      <w:r w:rsidR="00A96631" w:rsidRPr="00A96631">
        <w:rPr>
          <w:lang w:val="uk-UA"/>
        </w:rPr>
        <w:t xml:space="preserve">поваги </w:t>
      </w:r>
      <w:r w:rsidR="00A96631">
        <w:rPr>
          <w:lang w:val="uk-UA"/>
        </w:rPr>
        <w:t>до культур</w:t>
      </w:r>
      <w:r w:rsidR="00A96631" w:rsidRPr="00A96631">
        <w:rPr>
          <w:lang w:val="uk-UA"/>
        </w:rPr>
        <w:t xml:space="preserve"> меншин і корінних народів і дітей з усіх релігійних громад, </w:t>
      </w:r>
      <w:r w:rsidR="00A96631">
        <w:rPr>
          <w:lang w:val="uk-UA"/>
        </w:rPr>
        <w:t xml:space="preserve">підтримки і поширення </w:t>
      </w:r>
      <w:r w:rsidR="00A96631" w:rsidRPr="00A96631">
        <w:rPr>
          <w:lang w:val="uk-UA"/>
        </w:rPr>
        <w:t>інклюзивної освіти для дітей</w:t>
      </w:r>
      <w:r w:rsidR="00A96631">
        <w:rPr>
          <w:lang w:val="uk-UA"/>
        </w:rPr>
        <w:t xml:space="preserve"> з інвалідністю, боротьби з цькуванням і </w:t>
      </w:r>
      <w:r w:rsidR="00A96631" w:rsidRPr="00A96631">
        <w:rPr>
          <w:lang w:val="uk-UA"/>
        </w:rPr>
        <w:t xml:space="preserve">дискримінаційними стереотипами </w:t>
      </w:r>
      <w:r w:rsidR="00A96631">
        <w:rPr>
          <w:lang w:val="uk-UA"/>
        </w:rPr>
        <w:t xml:space="preserve">у системі освіти, та </w:t>
      </w:r>
      <w:r w:rsidR="00A96631" w:rsidRPr="00A96631">
        <w:rPr>
          <w:lang w:val="uk-UA"/>
        </w:rPr>
        <w:t xml:space="preserve">забезпечення </w:t>
      </w:r>
      <w:r w:rsidR="00A96631">
        <w:rPr>
          <w:lang w:val="uk-UA"/>
        </w:rPr>
        <w:t xml:space="preserve">навчання </w:t>
      </w:r>
      <w:r w:rsidR="00A96631" w:rsidRPr="00A96631">
        <w:rPr>
          <w:lang w:val="uk-UA"/>
        </w:rPr>
        <w:t>в таборах біженців</w:t>
      </w:r>
      <w:r w:rsidR="00A96631">
        <w:rPr>
          <w:lang w:val="uk-UA"/>
        </w:rPr>
        <w:t xml:space="preserve">. </w:t>
      </w:r>
    </w:p>
    <w:p w:rsidR="005A12CD" w:rsidRDefault="00A007F8" w:rsidP="00A007F8">
      <w:pPr>
        <w:pStyle w:val="SingleTxtGR"/>
        <w:rPr>
          <w:lang w:val="uk-UA"/>
        </w:rPr>
      </w:pPr>
      <w:r w:rsidRPr="00BC0BFE">
        <w:rPr>
          <w:lang w:val="uk-UA"/>
        </w:rPr>
        <w:t>71.</w:t>
      </w:r>
      <w:r w:rsidRPr="00BC0BFE">
        <w:rPr>
          <w:lang w:val="uk-UA"/>
        </w:rPr>
        <w:tab/>
      </w:r>
      <w:r w:rsidR="005A12CD">
        <w:rPr>
          <w:lang w:val="uk-UA"/>
        </w:rPr>
        <w:t>Зважаючи на значну кількість тих, хто рано кидає школу, залишаючись при цьому неграмотними чи не здобувши жодної кваліфікації, н</w:t>
      </w:r>
      <w:r w:rsidR="005A12CD" w:rsidRPr="005A12CD">
        <w:rPr>
          <w:lang w:val="uk-UA"/>
        </w:rPr>
        <w:t>еобхідно докла</w:t>
      </w:r>
      <w:r w:rsidR="005A12CD">
        <w:rPr>
          <w:lang w:val="uk-UA"/>
        </w:rPr>
        <w:t xml:space="preserve">дати </w:t>
      </w:r>
      <w:r w:rsidR="005A12CD" w:rsidRPr="005A12CD">
        <w:rPr>
          <w:lang w:val="uk-UA"/>
        </w:rPr>
        <w:t xml:space="preserve">зусиль для </w:t>
      </w:r>
      <w:r w:rsidR="005A12CD">
        <w:rPr>
          <w:lang w:val="uk-UA"/>
        </w:rPr>
        <w:t xml:space="preserve">консультування підлітків стосовно </w:t>
      </w:r>
      <w:r w:rsidR="005A12CD" w:rsidRPr="005A12CD">
        <w:rPr>
          <w:lang w:val="uk-UA"/>
        </w:rPr>
        <w:t xml:space="preserve">перешкод, що </w:t>
      </w:r>
      <w:r w:rsidR="005A12CD">
        <w:rPr>
          <w:lang w:val="uk-UA"/>
        </w:rPr>
        <w:t xml:space="preserve">заважають їм продовжувати навчатися у школі. </w:t>
      </w:r>
      <w:r w:rsidR="005A12CD" w:rsidRPr="005A12CD">
        <w:rPr>
          <w:lang w:val="uk-UA"/>
        </w:rPr>
        <w:t xml:space="preserve">Комітет </w:t>
      </w:r>
      <w:r w:rsidR="005A12CD">
        <w:rPr>
          <w:lang w:val="uk-UA"/>
        </w:rPr>
        <w:t>виявив наступні чинники, що заважають дітям навчатися: плата за навчання і пов’</w:t>
      </w:r>
      <w:r w:rsidR="005A12CD" w:rsidRPr="005A12CD">
        <w:rPr>
          <w:lang w:val="uk-UA"/>
        </w:rPr>
        <w:t>язані з н</w:t>
      </w:r>
      <w:r w:rsidR="005A12CD">
        <w:rPr>
          <w:lang w:val="uk-UA"/>
        </w:rPr>
        <w:t>им витрати; бідність сім’</w:t>
      </w:r>
      <w:r w:rsidR="005A12CD" w:rsidRPr="005A12CD">
        <w:rPr>
          <w:lang w:val="uk-UA"/>
        </w:rPr>
        <w:t xml:space="preserve">ї і відсутність належних систем соціального захисту, включаючи медичне страхування; відсутність </w:t>
      </w:r>
      <w:r w:rsidR="005A12CD">
        <w:rPr>
          <w:lang w:val="uk-UA"/>
        </w:rPr>
        <w:t xml:space="preserve">адекватних </w:t>
      </w:r>
      <w:r w:rsidR="005A12CD" w:rsidRPr="005A12CD">
        <w:rPr>
          <w:lang w:val="uk-UA"/>
        </w:rPr>
        <w:t>і безпечних санітарних умов для дівчаток; виключення вагі</w:t>
      </w:r>
      <w:r w:rsidR="005A12CD">
        <w:rPr>
          <w:lang w:val="uk-UA"/>
        </w:rPr>
        <w:t xml:space="preserve">тних школярок </w:t>
      </w:r>
      <w:r w:rsidR="005A12CD" w:rsidRPr="005A12CD">
        <w:rPr>
          <w:lang w:val="uk-UA"/>
        </w:rPr>
        <w:t xml:space="preserve">і </w:t>
      </w:r>
      <w:r w:rsidR="005A12CD">
        <w:rPr>
          <w:lang w:val="uk-UA"/>
        </w:rPr>
        <w:t xml:space="preserve">юних </w:t>
      </w:r>
      <w:r w:rsidR="005A12CD" w:rsidRPr="005A12CD">
        <w:rPr>
          <w:lang w:val="uk-UA"/>
        </w:rPr>
        <w:t xml:space="preserve">матерів; </w:t>
      </w:r>
      <w:r w:rsidR="005A12CD" w:rsidRPr="005A12CD">
        <w:rPr>
          <w:lang w:val="uk-UA"/>
        </w:rPr>
        <w:lastRenderedPageBreak/>
        <w:t xml:space="preserve">постійне застосування жорстоких, нелюдських і </w:t>
      </w:r>
      <w:r w:rsidR="005A12CD">
        <w:rPr>
          <w:lang w:val="uk-UA"/>
        </w:rPr>
        <w:t xml:space="preserve">таких, що </w:t>
      </w:r>
      <w:r w:rsidR="005A12CD" w:rsidRPr="005A12CD">
        <w:rPr>
          <w:lang w:val="uk-UA"/>
        </w:rPr>
        <w:t xml:space="preserve">принижують гідність, видів покарання; </w:t>
      </w:r>
      <w:r w:rsidR="005A12CD">
        <w:rPr>
          <w:lang w:val="uk-UA"/>
        </w:rPr>
        <w:t xml:space="preserve">брак </w:t>
      </w:r>
      <w:r w:rsidR="005A12CD" w:rsidRPr="005A12CD">
        <w:rPr>
          <w:lang w:val="uk-UA"/>
        </w:rPr>
        <w:t>ефективних заходів</w:t>
      </w:r>
      <w:r w:rsidR="005A12CD">
        <w:rPr>
          <w:lang w:val="uk-UA"/>
        </w:rPr>
        <w:t xml:space="preserve"> з ліквідації</w:t>
      </w:r>
      <w:r w:rsidR="005A12CD" w:rsidRPr="005A12CD">
        <w:rPr>
          <w:lang w:val="uk-UA"/>
        </w:rPr>
        <w:t xml:space="preserve"> сексуальних домагань в школах; сексуальна експлуатація дівчаток; </w:t>
      </w:r>
      <w:r w:rsidR="005A12CD">
        <w:rPr>
          <w:lang w:val="uk-UA"/>
        </w:rPr>
        <w:t xml:space="preserve">середовища, що не </w:t>
      </w:r>
      <w:r w:rsidR="005A12CD" w:rsidRPr="005A12CD">
        <w:rPr>
          <w:lang w:val="uk-UA"/>
        </w:rPr>
        <w:t>сприя</w:t>
      </w:r>
      <w:r w:rsidR="005A12CD">
        <w:rPr>
          <w:lang w:val="uk-UA"/>
        </w:rPr>
        <w:t xml:space="preserve">ють </w:t>
      </w:r>
      <w:r w:rsidR="005A12CD" w:rsidRPr="005A12CD">
        <w:rPr>
          <w:lang w:val="uk-UA"/>
        </w:rPr>
        <w:t>інтеграції дівчаток і їх</w:t>
      </w:r>
      <w:r w:rsidR="005A12CD">
        <w:rPr>
          <w:lang w:val="uk-UA"/>
        </w:rPr>
        <w:t>ній</w:t>
      </w:r>
      <w:r w:rsidR="005A12CD" w:rsidRPr="005A12CD">
        <w:rPr>
          <w:lang w:val="uk-UA"/>
        </w:rPr>
        <w:t xml:space="preserve"> безпе</w:t>
      </w:r>
      <w:r w:rsidR="005A12CD">
        <w:rPr>
          <w:lang w:val="uk-UA"/>
        </w:rPr>
        <w:t>ці</w:t>
      </w:r>
      <w:r w:rsidR="005A12CD" w:rsidRPr="005A12CD">
        <w:rPr>
          <w:lang w:val="uk-UA"/>
        </w:rPr>
        <w:t>; не</w:t>
      </w:r>
      <w:r w:rsidR="005A12CD">
        <w:rPr>
          <w:lang w:val="uk-UA"/>
        </w:rPr>
        <w:t>належні педагогічні підходи до викладання</w:t>
      </w:r>
      <w:r w:rsidR="005A12CD" w:rsidRPr="005A12CD">
        <w:rPr>
          <w:lang w:val="uk-UA"/>
        </w:rPr>
        <w:t xml:space="preserve">; неактуальні або застарілі навчальні плани; нездатність залучити учнів до процесу самонавчання; </w:t>
      </w:r>
      <w:r w:rsidR="005A12CD">
        <w:rPr>
          <w:lang w:val="uk-UA"/>
        </w:rPr>
        <w:t>а також цькування і залякування («</w:t>
      </w:r>
      <w:proofErr w:type="spellStart"/>
      <w:r w:rsidR="005A12CD">
        <w:rPr>
          <w:lang w:val="uk-UA"/>
        </w:rPr>
        <w:t>булінг</w:t>
      </w:r>
      <w:proofErr w:type="spellEnd"/>
      <w:r w:rsidR="005A12CD">
        <w:rPr>
          <w:lang w:val="uk-UA"/>
        </w:rPr>
        <w:t xml:space="preserve">»). Крім того, школам часто бракує гнучкості, необхідної </w:t>
      </w:r>
      <w:r w:rsidR="005A12CD" w:rsidRPr="005A12CD">
        <w:rPr>
          <w:lang w:val="uk-UA"/>
        </w:rPr>
        <w:t>підліткам</w:t>
      </w:r>
      <w:r w:rsidR="005A12CD">
        <w:rPr>
          <w:lang w:val="uk-UA"/>
        </w:rPr>
        <w:t xml:space="preserve"> для того, щоб мати змогу </w:t>
      </w:r>
      <w:r w:rsidR="005A12CD" w:rsidRPr="005A12CD">
        <w:rPr>
          <w:lang w:val="uk-UA"/>
        </w:rPr>
        <w:t xml:space="preserve">поєднувати роботу </w:t>
      </w:r>
      <w:r w:rsidR="005A12CD">
        <w:rPr>
          <w:lang w:val="uk-UA"/>
        </w:rPr>
        <w:t>та/або сімейні обов’</w:t>
      </w:r>
      <w:r w:rsidR="005A12CD" w:rsidRPr="005A12CD">
        <w:rPr>
          <w:lang w:val="uk-UA"/>
        </w:rPr>
        <w:t xml:space="preserve">язки з </w:t>
      </w:r>
      <w:r w:rsidR="005A12CD">
        <w:rPr>
          <w:lang w:val="uk-UA"/>
        </w:rPr>
        <w:t>навчанням</w:t>
      </w:r>
      <w:r w:rsidR="005A12CD" w:rsidRPr="005A12CD">
        <w:rPr>
          <w:lang w:val="uk-UA"/>
        </w:rPr>
        <w:t xml:space="preserve">, без чого вони </w:t>
      </w:r>
      <w:r w:rsidR="005A12CD">
        <w:rPr>
          <w:lang w:val="uk-UA"/>
        </w:rPr>
        <w:t>ймовірно не зможуть покривати витрати на школу</w:t>
      </w:r>
      <w:r w:rsidR="005A12CD" w:rsidRPr="005A12CD">
        <w:rPr>
          <w:lang w:val="uk-UA"/>
        </w:rPr>
        <w:t xml:space="preserve">. </w:t>
      </w:r>
      <w:r w:rsidR="005A12CD">
        <w:rPr>
          <w:lang w:val="uk-UA"/>
        </w:rPr>
        <w:t xml:space="preserve">Відповідно до пункту </w:t>
      </w:r>
      <w:r w:rsidR="005A12CD" w:rsidRPr="005A12CD">
        <w:rPr>
          <w:lang w:val="uk-UA"/>
        </w:rPr>
        <w:t>1</w:t>
      </w:r>
      <w:r w:rsidR="005A12CD">
        <w:rPr>
          <w:lang w:val="uk-UA"/>
        </w:rPr>
        <w:t>(е) Статті 28 Конвенції і Ц</w:t>
      </w:r>
      <w:r w:rsidR="005A12CD" w:rsidRPr="005A12CD">
        <w:rPr>
          <w:lang w:val="uk-UA"/>
        </w:rPr>
        <w:t xml:space="preserve">ілі </w:t>
      </w:r>
      <w:r w:rsidR="005A12CD">
        <w:rPr>
          <w:lang w:val="uk-UA"/>
        </w:rPr>
        <w:t xml:space="preserve">сталого розвитку </w:t>
      </w:r>
      <w:r w:rsidR="005A12CD" w:rsidRPr="005A12CD">
        <w:rPr>
          <w:lang w:val="uk-UA"/>
        </w:rPr>
        <w:t>4</w:t>
      </w:r>
      <w:r w:rsidR="005A12CD">
        <w:rPr>
          <w:lang w:val="uk-UA"/>
        </w:rPr>
        <w:t xml:space="preserve">, </w:t>
      </w:r>
      <w:r w:rsidR="005A12CD" w:rsidRPr="005A12CD">
        <w:rPr>
          <w:lang w:val="uk-UA"/>
        </w:rPr>
        <w:t xml:space="preserve">держави повинні </w:t>
      </w:r>
      <w:r w:rsidR="005A12CD">
        <w:rPr>
          <w:lang w:val="uk-UA"/>
        </w:rPr>
        <w:t xml:space="preserve">запровадити комплексні та енергійні </w:t>
      </w:r>
      <w:r w:rsidR="005A12CD" w:rsidRPr="005A12CD">
        <w:rPr>
          <w:lang w:val="uk-UA"/>
        </w:rPr>
        <w:t xml:space="preserve">заходи, </w:t>
      </w:r>
      <w:r w:rsidR="005A12CD">
        <w:rPr>
          <w:lang w:val="uk-UA"/>
        </w:rPr>
        <w:t>щоб врахувати у</w:t>
      </w:r>
      <w:r w:rsidR="005A12CD" w:rsidRPr="005A12CD">
        <w:rPr>
          <w:lang w:val="uk-UA"/>
        </w:rPr>
        <w:t xml:space="preserve">сі ці </w:t>
      </w:r>
      <w:r w:rsidR="005A12CD">
        <w:rPr>
          <w:lang w:val="uk-UA"/>
        </w:rPr>
        <w:t xml:space="preserve">чинники </w:t>
      </w:r>
      <w:r w:rsidR="005A12CD" w:rsidRPr="005A12CD">
        <w:rPr>
          <w:lang w:val="uk-UA"/>
        </w:rPr>
        <w:t xml:space="preserve">і </w:t>
      </w:r>
      <w:r w:rsidR="005A12CD">
        <w:rPr>
          <w:lang w:val="uk-UA"/>
        </w:rPr>
        <w:t xml:space="preserve">добитися зростання показників </w:t>
      </w:r>
      <w:r w:rsidR="005A12CD" w:rsidRPr="005A12CD">
        <w:rPr>
          <w:lang w:val="uk-UA"/>
        </w:rPr>
        <w:t xml:space="preserve">зарахування до шкіл і відвідуваності, </w:t>
      </w:r>
      <w:r w:rsidR="005A12CD">
        <w:rPr>
          <w:lang w:val="uk-UA"/>
        </w:rPr>
        <w:t xml:space="preserve">знизити кількість учнів, які завчасно залишають школу, та створити </w:t>
      </w:r>
      <w:r w:rsidR="005A12CD" w:rsidRPr="005A12CD">
        <w:rPr>
          <w:lang w:val="uk-UA"/>
        </w:rPr>
        <w:t>можливості для завершення освіти тим, хто залишив навчання</w:t>
      </w:r>
      <w:r w:rsidR="005A12CD">
        <w:rPr>
          <w:lang w:val="uk-UA"/>
        </w:rPr>
        <w:t xml:space="preserve">. </w:t>
      </w:r>
    </w:p>
    <w:p w:rsidR="00E35ABA" w:rsidRPr="00BC0BFE" w:rsidRDefault="00A007F8" w:rsidP="00E35ABA">
      <w:pPr>
        <w:pStyle w:val="SingleTxtGR"/>
        <w:rPr>
          <w:lang w:val="uk-UA"/>
        </w:rPr>
      </w:pPr>
      <w:r w:rsidRPr="00BC0BFE">
        <w:rPr>
          <w:lang w:val="uk-UA"/>
        </w:rPr>
        <w:t>72.</w:t>
      </w:r>
      <w:r w:rsidRPr="00BC0BFE">
        <w:rPr>
          <w:lang w:val="uk-UA"/>
        </w:rPr>
        <w:tab/>
      </w:r>
      <w:r w:rsidR="00E35ABA" w:rsidRPr="00E35ABA">
        <w:rPr>
          <w:lang w:val="uk-UA"/>
        </w:rPr>
        <w:t>Комітет звертає увагу на своє зауваження загального порядку № 1 (2001) про цілі о</w:t>
      </w:r>
      <w:r w:rsidR="00E35ABA">
        <w:rPr>
          <w:lang w:val="uk-UA"/>
        </w:rPr>
        <w:t xml:space="preserve">світи, в якому він наполягає, що освіта має бути орієнтованою на дитину, дружньою до дитини, і такою, що </w:t>
      </w:r>
      <w:r w:rsidR="00E35ABA" w:rsidRPr="00E35ABA">
        <w:rPr>
          <w:lang w:val="uk-UA"/>
        </w:rPr>
        <w:t>розкрива</w:t>
      </w:r>
      <w:r w:rsidR="00E35ABA">
        <w:rPr>
          <w:lang w:val="uk-UA"/>
        </w:rPr>
        <w:t xml:space="preserve">є перед нею нові можливості, а також наголошує на важливості педагогіки, що активніше </w:t>
      </w:r>
      <w:r w:rsidR="00E35ABA" w:rsidRPr="00E35ABA">
        <w:rPr>
          <w:lang w:val="uk-UA"/>
        </w:rPr>
        <w:t>спирається на співробітництво і участь дітей</w:t>
      </w:r>
      <w:r w:rsidR="00E35ABA" w:rsidRPr="00BC0BFE">
        <w:rPr>
          <w:sz w:val="18"/>
          <w:vertAlign w:val="superscript"/>
          <w:lang w:val="uk-UA"/>
        </w:rPr>
        <w:footnoteReference w:id="32"/>
      </w:r>
      <w:r w:rsidR="00E35ABA" w:rsidRPr="00E35ABA">
        <w:rPr>
          <w:lang w:val="uk-UA"/>
        </w:rPr>
        <w:t xml:space="preserve">. Навчальні програми для середньої школи повинні </w:t>
      </w:r>
      <w:r w:rsidR="00E35ABA">
        <w:rPr>
          <w:lang w:val="uk-UA"/>
        </w:rPr>
        <w:t xml:space="preserve">розроблятися таким чином, щоб готувати </w:t>
      </w:r>
      <w:r w:rsidR="00E35ABA" w:rsidRPr="00E35ABA">
        <w:rPr>
          <w:lang w:val="uk-UA"/>
        </w:rPr>
        <w:t xml:space="preserve">підлітків до активної участі, </w:t>
      </w:r>
      <w:r w:rsidR="00E35ABA">
        <w:rPr>
          <w:lang w:val="uk-UA"/>
        </w:rPr>
        <w:t xml:space="preserve">посилювати їхню </w:t>
      </w:r>
      <w:r w:rsidR="00E35ABA" w:rsidRPr="00E35ABA">
        <w:rPr>
          <w:lang w:val="uk-UA"/>
        </w:rPr>
        <w:t xml:space="preserve">поваги </w:t>
      </w:r>
      <w:r w:rsidR="00E35ABA">
        <w:rPr>
          <w:lang w:val="uk-UA"/>
        </w:rPr>
        <w:t xml:space="preserve">до </w:t>
      </w:r>
      <w:r w:rsidR="00E35ABA" w:rsidRPr="00E35ABA">
        <w:rPr>
          <w:lang w:val="uk-UA"/>
        </w:rPr>
        <w:t>прав людини та основних свобод, заохоч</w:t>
      </w:r>
      <w:r w:rsidR="00E35ABA">
        <w:rPr>
          <w:lang w:val="uk-UA"/>
        </w:rPr>
        <w:t xml:space="preserve">увати до громадянської активності і готувати </w:t>
      </w:r>
      <w:r w:rsidR="00E35ABA" w:rsidRPr="00E35ABA">
        <w:rPr>
          <w:lang w:val="uk-UA"/>
        </w:rPr>
        <w:t xml:space="preserve">до відповідального життя у вільному суспільстві. Для </w:t>
      </w:r>
      <w:r w:rsidR="00E35ABA">
        <w:rPr>
          <w:lang w:val="uk-UA"/>
        </w:rPr>
        <w:t xml:space="preserve">максимального розкриття </w:t>
      </w:r>
      <w:r w:rsidR="00E35ABA" w:rsidRPr="00E35ABA">
        <w:rPr>
          <w:lang w:val="uk-UA"/>
        </w:rPr>
        <w:t>потен</w:t>
      </w:r>
      <w:r w:rsidR="00E35ABA">
        <w:rPr>
          <w:lang w:val="uk-UA"/>
        </w:rPr>
        <w:t>ціалу підлітків і утримання їх у</w:t>
      </w:r>
      <w:r w:rsidR="00E35ABA" w:rsidRPr="00E35ABA">
        <w:rPr>
          <w:lang w:val="uk-UA"/>
        </w:rPr>
        <w:t xml:space="preserve"> школі</w:t>
      </w:r>
      <w:r w:rsidR="00E35ABA">
        <w:rPr>
          <w:lang w:val="uk-UA"/>
        </w:rPr>
        <w:t>,</w:t>
      </w:r>
      <w:r w:rsidR="00E35ABA" w:rsidRPr="00E35ABA">
        <w:rPr>
          <w:lang w:val="uk-UA"/>
        </w:rPr>
        <w:t xml:space="preserve"> необхідно розглянути питання </w:t>
      </w:r>
      <w:r w:rsidR="00E35ABA">
        <w:rPr>
          <w:lang w:val="uk-UA"/>
        </w:rPr>
        <w:t xml:space="preserve">організації навчальних середовищ </w:t>
      </w:r>
      <w:r w:rsidR="00E35ABA" w:rsidRPr="00E35ABA">
        <w:rPr>
          <w:lang w:val="uk-UA"/>
        </w:rPr>
        <w:t>з тим</w:t>
      </w:r>
      <w:r w:rsidR="00E35ABA">
        <w:rPr>
          <w:lang w:val="uk-UA"/>
        </w:rPr>
        <w:t>,</w:t>
      </w:r>
      <w:r w:rsidR="00E35ABA" w:rsidRPr="00E35ABA">
        <w:rPr>
          <w:lang w:val="uk-UA"/>
        </w:rPr>
        <w:t xml:space="preserve"> щоб </w:t>
      </w:r>
      <w:r w:rsidR="00E35ABA">
        <w:rPr>
          <w:lang w:val="uk-UA"/>
        </w:rPr>
        <w:t xml:space="preserve">вони </w:t>
      </w:r>
      <w:r w:rsidR="00E35ABA" w:rsidRPr="00E35ABA">
        <w:rPr>
          <w:lang w:val="uk-UA"/>
        </w:rPr>
        <w:t>найкращим чином використовували здатність підлітків до навчання, їх</w:t>
      </w:r>
      <w:r w:rsidR="00E35ABA">
        <w:rPr>
          <w:lang w:val="uk-UA"/>
        </w:rPr>
        <w:t xml:space="preserve">ню мотивацію до роботи з однолітками, та розширення їхніх прав і можливостей, та </w:t>
      </w:r>
      <w:r w:rsidR="00E35ABA" w:rsidRPr="00E35ABA">
        <w:rPr>
          <w:lang w:val="uk-UA"/>
        </w:rPr>
        <w:t xml:space="preserve">зосередити увагу на емпіричному навчанні, дослідженнях і </w:t>
      </w:r>
      <w:r w:rsidR="00E35ABA">
        <w:rPr>
          <w:lang w:val="uk-UA"/>
        </w:rPr>
        <w:t xml:space="preserve">випробуваннях меж. </w:t>
      </w:r>
    </w:p>
    <w:p w:rsidR="00A007F8" w:rsidRPr="00E35ABA" w:rsidRDefault="00A007F8" w:rsidP="0067613A">
      <w:pPr>
        <w:pStyle w:val="H23GR"/>
        <w:rPr>
          <w:lang w:val="uk-UA"/>
        </w:rPr>
      </w:pPr>
      <w:r w:rsidRPr="00A007F8">
        <w:tab/>
      </w:r>
      <w:r w:rsidRPr="00A007F8">
        <w:tab/>
      </w:r>
      <w:r w:rsidR="00E35ABA">
        <w:rPr>
          <w:lang w:val="uk-UA"/>
        </w:rPr>
        <w:t>Перехі</w:t>
      </w:r>
      <w:r w:rsidRPr="00E35ABA">
        <w:rPr>
          <w:lang w:val="uk-UA"/>
        </w:rPr>
        <w:t xml:space="preserve">д </w:t>
      </w:r>
      <w:r w:rsidR="00E35ABA">
        <w:rPr>
          <w:lang w:val="uk-UA"/>
        </w:rPr>
        <w:t>від освіти до професійної підготовки та/або гідної роботи</w:t>
      </w:r>
    </w:p>
    <w:p w:rsidR="00A007F8" w:rsidRPr="00E35ABA" w:rsidRDefault="00A007F8" w:rsidP="00A007F8">
      <w:pPr>
        <w:pStyle w:val="SingleTxtGR"/>
        <w:rPr>
          <w:lang w:val="uk-UA"/>
        </w:rPr>
      </w:pPr>
      <w:r w:rsidRPr="00E35ABA">
        <w:rPr>
          <w:lang w:val="uk-UA"/>
        </w:rPr>
        <w:t>73.</w:t>
      </w:r>
      <w:r w:rsidRPr="00E35ABA">
        <w:rPr>
          <w:lang w:val="uk-UA"/>
        </w:rPr>
        <w:tab/>
      </w:r>
      <w:r w:rsidR="00E35ABA">
        <w:rPr>
          <w:lang w:val="uk-UA"/>
        </w:rPr>
        <w:t>Чимало підлітків наразі не охоплені освітою</w:t>
      </w:r>
      <w:r w:rsidR="00E35ABA" w:rsidRPr="00E35ABA">
        <w:rPr>
          <w:lang w:val="uk-UA"/>
        </w:rPr>
        <w:t>, професійно</w:t>
      </w:r>
      <w:r w:rsidR="00E35ABA">
        <w:rPr>
          <w:lang w:val="uk-UA"/>
        </w:rPr>
        <w:t>ю підготовкою і не працюють</w:t>
      </w:r>
      <w:r w:rsidR="00E35ABA" w:rsidRPr="00E35ABA">
        <w:rPr>
          <w:lang w:val="uk-UA"/>
        </w:rPr>
        <w:t xml:space="preserve">, що </w:t>
      </w:r>
      <w:r w:rsidR="00E35ABA">
        <w:rPr>
          <w:lang w:val="uk-UA"/>
        </w:rPr>
        <w:t xml:space="preserve">в процесі їхнього переходу до дорослого життя </w:t>
      </w:r>
      <w:r w:rsidR="00E35ABA" w:rsidRPr="00E35ABA">
        <w:rPr>
          <w:lang w:val="uk-UA"/>
        </w:rPr>
        <w:t>призводить до непропорційно висок</w:t>
      </w:r>
      <w:r w:rsidR="00E35ABA">
        <w:rPr>
          <w:lang w:val="uk-UA"/>
        </w:rPr>
        <w:t>их рівнів</w:t>
      </w:r>
      <w:r w:rsidR="00E35ABA" w:rsidRPr="00E35ABA">
        <w:rPr>
          <w:lang w:val="uk-UA"/>
        </w:rPr>
        <w:t xml:space="preserve"> безробіття, неповної зайнятості і експлуатації. Комітет закликає держави нада</w:t>
      </w:r>
      <w:r w:rsidR="00E35ABA">
        <w:rPr>
          <w:lang w:val="uk-UA"/>
        </w:rPr>
        <w:t>ва</w:t>
      </w:r>
      <w:r w:rsidR="00E35ABA" w:rsidRPr="00E35ABA">
        <w:rPr>
          <w:lang w:val="uk-UA"/>
        </w:rPr>
        <w:t xml:space="preserve">ти підліткам, які не відвідують школу, </w:t>
      </w:r>
      <w:r w:rsidR="00E35ABA">
        <w:rPr>
          <w:lang w:val="uk-UA"/>
        </w:rPr>
        <w:t>підтримку відповідно до їхнього віку</w:t>
      </w:r>
      <w:r w:rsidR="00E35ABA" w:rsidRPr="00E35ABA">
        <w:rPr>
          <w:lang w:val="uk-UA"/>
        </w:rPr>
        <w:t xml:space="preserve">, щоб полегшити перехід до гідної </w:t>
      </w:r>
      <w:r w:rsidR="00E35ABA">
        <w:rPr>
          <w:lang w:val="uk-UA"/>
        </w:rPr>
        <w:t>зайнятості</w:t>
      </w:r>
      <w:r w:rsidR="00E35ABA" w:rsidRPr="00E35ABA">
        <w:rPr>
          <w:lang w:val="uk-UA"/>
        </w:rPr>
        <w:t xml:space="preserve">, в тому числі шляхом забезпечення відповідності між </w:t>
      </w:r>
      <w:r w:rsidR="00E35ABA">
        <w:rPr>
          <w:lang w:val="uk-UA"/>
        </w:rPr>
        <w:t xml:space="preserve">освітніми законами і </w:t>
      </w:r>
      <w:r w:rsidR="00E35ABA" w:rsidRPr="00E35ABA">
        <w:rPr>
          <w:lang w:val="uk-UA"/>
        </w:rPr>
        <w:t>трудовим законодавством, а також пров</w:t>
      </w:r>
      <w:r w:rsidR="00E35ABA">
        <w:rPr>
          <w:lang w:val="uk-UA"/>
        </w:rPr>
        <w:t>а</w:t>
      </w:r>
      <w:r w:rsidR="00E35ABA" w:rsidRPr="00E35ABA">
        <w:rPr>
          <w:lang w:val="uk-UA"/>
        </w:rPr>
        <w:t>дити політику</w:t>
      </w:r>
      <w:r w:rsidR="00E35ABA">
        <w:rPr>
          <w:lang w:val="uk-UA"/>
        </w:rPr>
        <w:t xml:space="preserve"> </w:t>
      </w:r>
      <w:r w:rsidR="00E35ABA" w:rsidRPr="00E35ABA">
        <w:rPr>
          <w:lang w:val="uk-UA"/>
        </w:rPr>
        <w:t>сприяння їх</w:t>
      </w:r>
      <w:r w:rsidR="00E35ABA">
        <w:rPr>
          <w:lang w:val="uk-UA"/>
        </w:rPr>
        <w:t>ньому</w:t>
      </w:r>
      <w:r w:rsidR="00E35ABA" w:rsidRPr="00E35ABA">
        <w:rPr>
          <w:lang w:val="uk-UA"/>
        </w:rPr>
        <w:t xml:space="preserve"> майбутньому працевлаштуванню</w:t>
      </w:r>
      <w:r w:rsidR="00E35ABA" w:rsidRPr="00E35ABA">
        <w:rPr>
          <w:sz w:val="18"/>
          <w:vertAlign w:val="superscript"/>
          <w:lang w:val="uk-UA"/>
        </w:rPr>
        <w:footnoteReference w:id="33"/>
      </w:r>
      <w:r w:rsidR="00E35ABA">
        <w:rPr>
          <w:lang w:val="uk-UA"/>
        </w:rPr>
        <w:t>. Відповідно до пункту 1(d) С</w:t>
      </w:r>
      <w:r w:rsidR="00E35ABA" w:rsidRPr="00E35ABA">
        <w:rPr>
          <w:lang w:val="uk-UA"/>
        </w:rPr>
        <w:t>татті 28</w:t>
      </w:r>
      <w:r w:rsidR="00E35ABA">
        <w:rPr>
          <w:lang w:val="uk-UA"/>
        </w:rPr>
        <w:t>, держави-учасниці забезпечують доступність інформації і матеріалів у галузі освіти й професійної підготовки для підлітків</w:t>
      </w:r>
      <w:r w:rsidRPr="00E35ABA">
        <w:rPr>
          <w:lang w:val="uk-UA"/>
        </w:rPr>
        <w:t>.</w:t>
      </w:r>
    </w:p>
    <w:p w:rsidR="00E35ABA" w:rsidRDefault="00A007F8" w:rsidP="00A007F8">
      <w:pPr>
        <w:pStyle w:val="SingleTxtGR"/>
        <w:rPr>
          <w:lang w:val="uk-UA"/>
        </w:rPr>
      </w:pPr>
      <w:r w:rsidRPr="00E35ABA">
        <w:rPr>
          <w:lang w:val="uk-UA"/>
        </w:rPr>
        <w:t>74.</w:t>
      </w:r>
      <w:r w:rsidRPr="00E35ABA">
        <w:rPr>
          <w:lang w:val="uk-UA"/>
        </w:rPr>
        <w:tab/>
      </w:r>
      <w:r w:rsidR="00E35ABA">
        <w:rPr>
          <w:lang w:val="uk-UA"/>
        </w:rPr>
        <w:t>Як формальна</w:t>
      </w:r>
      <w:r w:rsidR="00E35ABA" w:rsidRPr="00E35ABA">
        <w:rPr>
          <w:lang w:val="uk-UA"/>
        </w:rPr>
        <w:t xml:space="preserve">, так і неформальна освіта і підготовка </w:t>
      </w:r>
      <w:r w:rsidR="00E35ABA">
        <w:rPr>
          <w:lang w:val="uk-UA"/>
        </w:rPr>
        <w:t xml:space="preserve">мають </w:t>
      </w:r>
      <w:r w:rsidR="00E35ABA" w:rsidRPr="00E35ABA">
        <w:rPr>
          <w:lang w:val="uk-UA"/>
        </w:rPr>
        <w:t xml:space="preserve">бути </w:t>
      </w:r>
      <w:r w:rsidR="00E35ABA">
        <w:rPr>
          <w:lang w:val="uk-UA"/>
        </w:rPr>
        <w:t xml:space="preserve">спрямовані на формування </w:t>
      </w:r>
      <w:r w:rsidR="00E35ABA" w:rsidRPr="00E35ABA">
        <w:rPr>
          <w:lang w:val="uk-UA"/>
        </w:rPr>
        <w:t xml:space="preserve">навичок </w:t>
      </w:r>
      <w:r w:rsidR="00E35ABA">
        <w:rPr>
          <w:lang w:val="uk-UA"/>
        </w:rPr>
        <w:t xml:space="preserve">21-го </w:t>
      </w:r>
      <w:r w:rsidR="00E35ABA" w:rsidRPr="00E35ABA">
        <w:rPr>
          <w:lang w:val="uk-UA"/>
        </w:rPr>
        <w:t>століття</w:t>
      </w:r>
      <w:r w:rsidR="00E35ABA" w:rsidRPr="00E35ABA">
        <w:rPr>
          <w:sz w:val="18"/>
          <w:vertAlign w:val="superscript"/>
          <w:lang w:val="uk-UA"/>
        </w:rPr>
        <w:footnoteReference w:id="34"/>
      </w:r>
      <w:r w:rsidR="00E35ABA" w:rsidRPr="00E35ABA">
        <w:rPr>
          <w:lang w:val="uk-UA"/>
        </w:rPr>
        <w:t xml:space="preserve">, </w:t>
      </w:r>
      <w:r w:rsidR="00E35ABA">
        <w:rPr>
          <w:lang w:val="uk-UA"/>
        </w:rPr>
        <w:t xml:space="preserve">яких потребує сучасний </w:t>
      </w:r>
      <w:r w:rsidR="00E35ABA">
        <w:rPr>
          <w:lang w:val="uk-UA"/>
        </w:rPr>
        <w:lastRenderedPageBreak/>
        <w:t>ринок праці</w:t>
      </w:r>
      <w:r w:rsidR="00E35ABA" w:rsidRPr="00E35ABA">
        <w:rPr>
          <w:lang w:val="uk-UA"/>
        </w:rPr>
        <w:t xml:space="preserve">, </w:t>
      </w:r>
      <w:r w:rsidR="00E35ABA">
        <w:rPr>
          <w:lang w:val="uk-UA"/>
        </w:rPr>
        <w:t xml:space="preserve">а саме включення </w:t>
      </w:r>
      <w:r w:rsidR="00E35ABA" w:rsidRPr="00E35ABA">
        <w:rPr>
          <w:lang w:val="uk-UA"/>
        </w:rPr>
        <w:t xml:space="preserve">до навчальних програм </w:t>
      </w:r>
      <w:r w:rsidR="00E35ABA">
        <w:rPr>
          <w:lang w:val="uk-UA"/>
        </w:rPr>
        <w:t xml:space="preserve">розвитку </w:t>
      </w:r>
      <w:r w:rsidR="00E35ABA" w:rsidRPr="00E35ABA">
        <w:rPr>
          <w:lang w:val="uk-UA"/>
        </w:rPr>
        <w:t>навичок міжособистісного спілкування і навичок</w:t>
      </w:r>
      <w:r w:rsidR="00E35ABA">
        <w:rPr>
          <w:lang w:val="uk-UA"/>
        </w:rPr>
        <w:t>, що передаються</w:t>
      </w:r>
      <w:r w:rsidR="00E35ABA" w:rsidRPr="00E35ABA">
        <w:rPr>
          <w:lang w:val="uk-UA"/>
        </w:rPr>
        <w:t xml:space="preserve">; розширення можливостей для емпіричного або практичного навчання; розвиток професійної підготовки на основі попиту на ринку праці; </w:t>
      </w:r>
      <w:r w:rsidR="00E35ABA">
        <w:rPr>
          <w:lang w:val="uk-UA"/>
        </w:rPr>
        <w:t xml:space="preserve">налагодження </w:t>
      </w:r>
      <w:r w:rsidR="00E35ABA" w:rsidRPr="00E35ABA">
        <w:rPr>
          <w:lang w:val="uk-UA"/>
        </w:rPr>
        <w:t xml:space="preserve">партнерських відносин між державним і приватним секторами для розвитку підприємництва, стажування та виробничої практики; і вироблення рекомендацій щодо наукових та професійних можливостей. Державам також слід поширювати інформацію про права в галузі зайнятості, </w:t>
      </w:r>
      <w:r w:rsidR="00E35ABA">
        <w:rPr>
          <w:lang w:val="uk-UA"/>
        </w:rPr>
        <w:t>зокрема права, пов’</w:t>
      </w:r>
      <w:r w:rsidR="00E35ABA" w:rsidRPr="00E35ABA">
        <w:rPr>
          <w:lang w:val="uk-UA"/>
        </w:rPr>
        <w:t>язані з членством в профспілках та професійних асоціаціях</w:t>
      </w:r>
    </w:p>
    <w:p w:rsidR="00A007F8" w:rsidRPr="00E35ABA" w:rsidRDefault="00E35ABA" w:rsidP="0067613A">
      <w:pPr>
        <w:pStyle w:val="H23G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Відпочинок, дозвілля та творчість</w:t>
      </w:r>
    </w:p>
    <w:p w:rsidR="00DD7546" w:rsidRDefault="00A007F8" w:rsidP="00A007F8">
      <w:pPr>
        <w:pStyle w:val="SingleTxtGR"/>
        <w:rPr>
          <w:lang w:val="uk-UA"/>
        </w:rPr>
      </w:pPr>
      <w:r w:rsidRPr="00E35ABA">
        <w:rPr>
          <w:lang w:val="uk-UA"/>
        </w:rPr>
        <w:t>75.</w:t>
      </w:r>
      <w:r w:rsidRPr="00E35ABA">
        <w:rPr>
          <w:lang w:val="uk-UA"/>
        </w:rPr>
        <w:tab/>
      </w:r>
      <w:r w:rsidR="00DD7546">
        <w:rPr>
          <w:lang w:val="uk-UA"/>
        </w:rPr>
        <w:t>Право</w:t>
      </w:r>
      <w:r w:rsidR="00DD7546" w:rsidRPr="00DD7546">
        <w:rPr>
          <w:lang w:val="uk-UA"/>
        </w:rPr>
        <w:t xml:space="preserve"> підлітків на відпочинок і дозвілля</w:t>
      </w:r>
      <w:r w:rsidR="00DD7546">
        <w:rPr>
          <w:lang w:val="uk-UA"/>
        </w:rPr>
        <w:t xml:space="preserve">, право брати участь в іграх та розважальних заходах і займатися мистецтвом, як в режимі онлайн, так і поза мережею, </w:t>
      </w:r>
      <w:r w:rsidR="00DD7546" w:rsidRPr="00DD7546">
        <w:rPr>
          <w:lang w:val="uk-UA"/>
        </w:rPr>
        <w:t>ма</w:t>
      </w:r>
      <w:r w:rsidR="00DD7546">
        <w:rPr>
          <w:lang w:val="uk-UA"/>
        </w:rPr>
        <w:t xml:space="preserve">є визначальне </w:t>
      </w:r>
      <w:r w:rsidR="00DD7546" w:rsidRPr="00DD7546">
        <w:rPr>
          <w:lang w:val="uk-UA"/>
        </w:rPr>
        <w:t xml:space="preserve">значення для самопізнання, дозволяючи підліткам </w:t>
      </w:r>
      <w:r w:rsidR="00DD7546">
        <w:rPr>
          <w:lang w:val="uk-UA"/>
        </w:rPr>
        <w:t xml:space="preserve">досліджувати </w:t>
      </w:r>
      <w:r w:rsidR="00DD7546" w:rsidRPr="00DD7546">
        <w:rPr>
          <w:lang w:val="uk-UA"/>
        </w:rPr>
        <w:t xml:space="preserve">свою культуру, створювати нові художні форми, </w:t>
      </w:r>
      <w:r w:rsidR="00DD7546">
        <w:rPr>
          <w:lang w:val="uk-UA"/>
        </w:rPr>
        <w:t xml:space="preserve">налагоджувати стосунки </w:t>
      </w:r>
      <w:r w:rsidR="00DD7546" w:rsidRPr="00DD7546">
        <w:rPr>
          <w:lang w:val="uk-UA"/>
        </w:rPr>
        <w:t xml:space="preserve">і розвиватися </w:t>
      </w:r>
      <w:r w:rsidR="00DD7546">
        <w:rPr>
          <w:lang w:val="uk-UA"/>
        </w:rPr>
        <w:t>як людині</w:t>
      </w:r>
      <w:r w:rsidR="00DD7546" w:rsidRPr="00DD7546">
        <w:rPr>
          <w:lang w:val="uk-UA"/>
        </w:rPr>
        <w:t xml:space="preserve">. Відпочинок, дозвілля і творчість дають підліткам відчуття </w:t>
      </w:r>
      <w:r w:rsidR="00DD7546">
        <w:rPr>
          <w:lang w:val="uk-UA"/>
        </w:rPr>
        <w:t xml:space="preserve">унікальності, що лежить в </w:t>
      </w:r>
      <w:r w:rsidR="00DD7546" w:rsidRPr="00DD7546">
        <w:rPr>
          <w:lang w:val="uk-UA"/>
        </w:rPr>
        <w:t>основі прав</w:t>
      </w:r>
      <w:r w:rsidR="00DD7546">
        <w:rPr>
          <w:lang w:val="uk-UA"/>
        </w:rPr>
        <w:t>а</w:t>
      </w:r>
      <w:r w:rsidR="00DD7546" w:rsidRPr="00DD7546">
        <w:rPr>
          <w:lang w:val="uk-UA"/>
        </w:rPr>
        <w:t xml:space="preserve"> на людську гідність, </w:t>
      </w:r>
      <w:r w:rsidR="00DD7546">
        <w:rPr>
          <w:lang w:val="uk-UA"/>
        </w:rPr>
        <w:t xml:space="preserve">на </w:t>
      </w:r>
      <w:r w:rsidR="00DD7546" w:rsidRPr="00DD7546">
        <w:rPr>
          <w:lang w:val="uk-UA"/>
        </w:rPr>
        <w:t xml:space="preserve">оптимальний розвиток, </w:t>
      </w:r>
      <w:r w:rsidR="00DD7546">
        <w:rPr>
          <w:lang w:val="uk-UA"/>
        </w:rPr>
        <w:t xml:space="preserve">на </w:t>
      </w:r>
      <w:r w:rsidR="00DD7546" w:rsidRPr="00DD7546">
        <w:rPr>
          <w:lang w:val="uk-UA"/>
        </w:rPr>
        <w:t xml:space="preserve">свободу </w:t>
      </w:r>
      <w:r w:rsidR="00DD7546">
        <w:rPr>
          <w:lang w:val="uk-UA"/>
        </w:rPr>
        <w:t>висловлювання</w:t>
      </w:r>
      <w:r w:rsidR="00DD7546" w:rsidRPr="00DD7546">
        <w:rPr>
          <w:lang w:val="uk-UA"/>
        </w:rPr>
        <w:t>, участ</w:t>
      </w:r>
      <w:r w:rsidR="00DD7546">
        <w:rPr>
          <w:lang w:val="uk-UA"/>
        </w:rPr>
        <w:t xml:space="preserve">і і недоторканості </w:t>
      </w:r>
      <w:r w:rsidR="00DD7546" w:rsidRPr="00DD7546">
        <w:rPr>
          <w:lang w:val="uk-UA"/>
        </w:rPr>
        <w:t xml:space="preserve">приватного життя. Комітет з </w:t>
      </w:r>
      <w:r w:rsidR="00DD7546">
        <w:rPr>
          <w:lang w:val="uk-UA"/>
        </w:rPr>
        <w:t xml:space="preserve">прикрістю </w:t>
      </w:r>
      <w:r w:rsidR="00DD7546" w:rsidRPr="00DD7546">
        <w:rPr>
          <w:lang w:val="uk-UA"/>
        </w:rPr>
        <w:t xml:space="preserve">відзначає, що ці права </w:t>
      </w:r>
      <w:r w:rsidR="00DD7546" w:rsidRPr="00DD7546">
        <w:rPr>
          <w:lang w:val="uk-UA"/>
        </w:rPr>
        <w:t>в підлітковому віці</w:t>
      </w:r>
      <w:r w:rsidR="00DD7546" w:rsidRPr="00DD7546">
        <w:rPr>
          <w:lang w:val="uk-UA"/>
        </w:rPr>
        <w:t xml:space="preserve"> часто ігноруються, особливо стосовно дівчат. Страх і ворожість до підлітків у громадських місцях, а також відсутність </w:t>
      </w:r>
      <w:r w:rsidR="00DD7546">
        <w:rPr>
          <w:lang w:val="uk-UA"/>
        </w:rPr>
        <w:t xml:space="preserve">дружнього до підлітків </w:t>
      </w:r>
      <w:r w:rsidR="00DD7546" w:rsidRPr="00DD7546">
        <w:rPr>
          <w:lang w:val="uk-UA"/>
        </w:rPr>
        <w:t xml:space="preserve">міського планування, інфраструктури </w:t>
      </w:r>
      <w:r w:rsidR="00DD7546">
        <w:rPr>
          <w:lang w:val="uk-UA"/>
        </w:rPr>
        <w:t xml:space="preserve">для навчання та </w:t>
      </w:r>
      <w:r w:rsidR="00DD7546" w:rsidRPr="00DD7546">
        <w:rPr>
          <w:lang w:val="uk-UA"/>
        </w:rPr>
        <w:t>дозвілля можуть перешкоджати вільн</w:t>
      </w:r>
      <w:r w:rsidR="00DD7546">
        <w:rPr>
          <w:lang w:val="uk-UA"/>
        </w:rPr>
        <w:t xml:space="preserve">ій участі підлітків </w:t>
      </w:r>
      <w:r w:rsidR="00DD7546" w:rsidRPr="00DD7546">
        <w:rPr>
          <w:lang w:val="uk-UA"/>
        </w:rPr>
        <w:t>в культурно-</w:t>
      </w:r>
      <w:r w:rsidR="00DD7546">
        <w:rPr>
          <w:lang w:val="uk-UA"/>
        </w:rPr>
        <w:t xml:space="preserve">розважальних </w:t>
      </w:r>
      <w:r w:rsidR="00DD7546" w:rsidRPr="00DD7546">
        <w:rPr>
          <w:lang w:val="uk-UA"/>
        </w:rPr>
        <w:t>заходах і заняттях спортом. Комітет звертає увагу</w:t>
      </w:r>
      <w:r w:rsidR="00DD7546">
        <w:rPr>
          <w:lang w:val="uk-UA"/>
        </w:rPr>
        <w:t xml:space="preserve"> держав на права, закріплені в С</w:t>
      </w:r>
      <w:r w:rsidR="00DD7546" w:rsidRPr="00DD7546">
        <w:rPr>
          <w:lang w:val="uk-UA"/>
        </w:rPr>
        <w:t xml:space="preserve">татті 31 Конвенції, і </w:t>
      </w:r>
      <w:r w:rsidR="00DD7546">
        <w:rPr>
          <w:lang w:val="uk-UA"/>
        </w:rPr>
        <w:t xml:space="preserve">на </w:t>
      </w:r>
      <w:r w:rsidR="00DD7546" w:rsidRPr="00DD7546">
        <w:rPr>
          <w:lang w:val="uk-UA"/>
        </w:rPr>
        <w:t>свої рекомендації</w:t>
      </w:r>
      <w:r w:rsidR="00DD7546">
        <w:rPr>
          <w:lang w:val="uk-UA"/>
        </w:rPr>
        <w:t xml:space="preserve">, викладені </w:t>
      </w:r>
      <w:r w:rsidR="00DD7546" w:rsidRPr="00DD7546">
        <w:rPr>
          <w:lang w:val="uk-UA"/>
        </w:rPr>
        <w:t>в зауваженні загального порядку № 17 (2013) про право дитини на відпочинок, дозвілля, участь в іграх, розважальних заходах, культурно</w:t>
      </w:r>
      <w:r w:rsidR="00DD7546">
        <w:rPr>
          <w:lang w:val="uk-UA"/>
        </w:rPr>
        <w:t>му житті</w:t>
      </w:r>
      <w:r w:rsidR="00DD7546" w:rsidRPr="00DD7546">
        <w:rPr>
          <w:lang w:val="uk-UA"/>
        </w:rPr>
        <w:t xml:space="preserve"> і право займатися </w:t>
      </w:r>
      <w:r w:rsidR="00DD7546">
        <w:rPr>
          <w:lang w:val="uk-UA"/>
        </w:rPr>
        <w:t>творчістю.</w:t>
      </w:r>
    </w:p>
    <w:p w:rsidR="00A007F8" w:rsidRPr="00525C07" w:rsidRDefault="00A007F8" w:rsidP="0067613A">
      <w:pPr>
        <w:pStyle w:val="HChGR"/>
        <w:rPr>
          <w:lang w:val="uk-UA"/>
        </w:rPr>
      </w:pPr>
      <w:r w:rsidRPr="00A007F8">
        <w:tab/>
      </w:r>
      <w:r w:rsidRPr="00525C07">
        <w:rPr>
          <w:lang w:val="uk-UA"/>
        </w:rPr>
        <w:t>XIII.</w:t>
      </w:r>
      <w:r w:rsidRPr="00525C07">
        <w:rPr>
          <w:lang w:val="uk-UA"/>
        </w:rPr>
        <w:tab/>
        <w:t>Особ</w:t>
      </w:r>
      <w:r w:rsidR="00525C07">
        <w:rPr>
          <w:lang w:val="uk-UA"/>
        </w:rPr>
        <w:t>ливі заходи із захисту</w:t>
      </w:r>
      <w:bookmarkStart w:id="16" w:name="_Toc468797248"/>
      <w:bookmarkEnd w:id="16"/>
    </w:p>
    <w:p w:rsidR="00A007F8" w:rsidRPr="00525C07" w:rsidRDefault="00A007F8" w:rsidP="0067613A">
      <w:pPr>
        <w:pStyle w:val="H23GR"/>
        <w:rPr>
          <w:lang w:val="uk-UA"/>
        </w:rPr>
      </w:pPr>
      <w:r w:rsidRPr="00525C07">
        <w:rPr>
          <w:lang w:val="uk-UA"/>
        </w:rPr>
        <w:tab/>
      </w:r>
      <w:r w:rsidRPr="00525C07">
        <w:rPr>
          <w:lang w:val="uk-UA"/>
        </w:rPr>
        <w:tab/>
        <w:t>М</w:t>
      </w:r>
      <w:r w:rsidR="00525C07">
        <w:rPr>
          <w:lang w:val="uk-UA"/>
        </w:rPr>
        <w:t>іграція</w:t>
      </w:r>
    </w:p>
    <w:p w:rsidR="00A007F8" w:rsidRPr="00525C07" w:rsidRDefault="00A007F8" w:rsidP="00525C07">
      <w:pPr>
        <w:pStyle w:val="SingleTxtGR"/>
        <w:rPr>
          <w:lang w:val="uk-UA"/>
        </w:rPr>
      </w:pPr>
      <w:r w:rsidRPr="00525C07">
        <w:rPr>
          <w:lang w:val="uk-UA"/>
        </w:rPr>
        <w:t>76.</w:t>
      </w:r>
      <w:r w:rsidRPr="00525C07">
        <w:rPr>
          <w:lang w:val="uk-UA"/>
        </w:rPr>
        <w:tab/>
      </w:r>
      <w:r w:rsidR="00525C07">
        <w:rPr>
          <w:lang w:val="uk-UA"/>
        </w:rPr>
        <w:t>Дедалі більше дівчат</w:t>
      </w:r>
      <w:r w:rsidR="00525C07" w:rsidRPr="00525C07">
        <w:rPr>
          <w:lang w:val="uk-UA"/>
        </w:rPr>
        <w:t xml:space="preserve"> і хлоп</w:t>
      </w:r>
      <w:r w:rsidR="00525C07">
        <w:rPr>
          <w:lang w:val="uk-UA"/>
        </w:rPr>
        <w:t xml:space="preserve">ців </w:t>
      </w:r>
      <w:r w:rsidR="00525C07" w:rsidRPr="00525C07">
        <w:rPr>
          <w:lang w:val="uk-UA"/>
        </w:rPr>
        <w:t xml:space="preserve">підліткового віку мігрують як </w:t>
      </w:r>
      <w:r w:rsidR="00525C07">
        <w:rPr>
          <w:lang w:val="uk-UA"/>
        </w:rPr>
        <w:t xml:space="preserve">всередині </w:t>
      </w:r>
      <w:r w:rsidR="00525C07" w:rsidRPr="00525C07">
        <w:rPr>
          <w:lang w:val="uk-UA"/>
        </w:rPr>
        <w:t>країн</w:t>
      </w:r>
      <w:r w:rsidR="00525C07">
        <w:rPr>
          <w:lang w:val="uk-UA"/>
        </w:rPr>
        <w:t xml:space="preserve"> </w:t>
      </w:r>
      <w:r w:rsidR="00525C07" w:rsidRPr="00525C07">
        <w:rPr>
          <w:lang w:val="uk-UA"/>
        </w:rPr>
        <w:t xml:space="preserve">свого </w:t>
      </w:r>
      <w:r w:rsidR="00525C07">
        <w:rPr>
          <w:lang w:val="uk-UA"/>
        </w:rPr>
        <w:t>походження, так і за їх межами у</w:t>
      </w:r>
      <w:r w:rsidR="00525C07" w:rsidRPr="00525C07">
        <w:rPr>
          <w:lang w:val="uk-UA"/>
        </w:rPr>
        <w:t xml:space="preserve"> пошуках </w:t>
      </w:r>
      <w:r w:rsidR="00525C07">
        <w:rPr>
          <w:lang w:val="uk-UA"/>
        </w:rPr>
        <w:t>вищого рівня життя, освіти або для возз’</w:t>
      </w:r>
      <w:r w:rsidR="00525C07" w:rsidRPr="00525C07">
        <w:rPr>
          <w:lang w:val="uk-UA"/>
        </w:rPr>
        <w:t>єднання сім</w:t>
      </w:r>
      <w:r w:rsidR="00D763C7">
        <w:rPr>
          <w:lang w:val="uk-UA"/>
        </w:rPr>
        <w:t>ей</w:t>
      </w:r>
      <w:r w:rsidR="00525C07" w:rsidRPr="00525C07">
        <w:rPr>
          <w:lang w:val="uk-UA"/>
        </w:rPr>
        <w:t xml:space="preserve">. Для багатьох з них міграція відкриває </w:t>
      </w:r>
      <w:r w:rsidR="00525C07">
        <w:rPr>
          <w:lang w:val="uk-UA"/>
        </w:rPr>
        <w:t xml:space="preserve">неабиякі </w:t>
      </w:r>
      <w:r w:rsidR="00525C07" w:rsidRPr="00525C07">
        <w:rPr>
          <w:lang w:val="uk-UA"/>
        </w:rPr>
        <w:t xml:space="preserve">соціальні та економічні можливості. </w:t>
      </w:r>
      <w:r w:rsidR="00525C07">
        <w:rPr>
          <w:lang w:val="uk-UA"/>
        </w:rPr>
        <w:t xml:space="preserve">Водночас </w:t>
      </w:r>
      <w:r w:rsidR="00525C07" w:rsidRPr="00525C07">
        <w:rPr>
          <w:lang w:val="uk-UA"/>
        </w:rPr>
        <w:t xml:space="preserve">вона </w:t>
      </w:r>
      <w:r w:rsidR="00525C07">
        <w:rPr>
          <w:lang w:val="uk-UA"/>
        </w:rPr>
        <w:t xml:space="preserve">наражає їх на ризики </w:t>
      </w:r>
      <w:r w:rsidR="00525C07" w:rsidRPr="00525C07">
        <w:rPr>
          <w:lang w:val="uk-UA"/>
        </w:rPr>
        <w:t>фізичної шкоди, психологічн</w:t>
      </w:r>
      <w:r w:rsidR="00525C07">
        <w:rPr>
          <w:lang w:val="uk-UA"/>
        </w:rPr>
        <w:t>их травм</w:t>
      </w:r>
      <w:r w:rsidR="00525C07" w:rsidRPr="00525C07">
        <w:rPr>
          <w:lang w:val="uk-UA"/>
        </w:rPr>
        <w:t xml:space="preserve">, маргіналізації, дискримінації, ксенофобії і сексуальної та економічної експлуатації, а при перетині кордонів </w:t>
      </w:r>
      <w:r w:rsidR="00525C07">
        <w:rPr>
          <w:lang w:val="uk-UA"/>
        </w:rPr>
        <w:t>–</w:t>
      </w:r>
      <w:r w:rsidR="00525C07" w:rsidRPr="00525C07">
        <w:rPr>
          <w:lang w:val="uk-UA"/>
        </w:rPr>
        <w:t xml:space="preserve">імміграційних рейдів і </w:t>
      </w:r>
      <w:r w:rsidR="00525C07">
        <w:rPr>
          <w:lang w:val="uk-UA"/>
        </w:rPr>
        <w:t xml:space="preserve">взяття </w:t>
      </w:r>
      <w:r w:rsidR="00525C07" w:rsidRPr="00525C07">
        <w:rPr>
          <w:lang w:val="uk-UA"/>
        </w:rPr>
        <w:t>під варт</w:t>
      </w:r>
      <w:r w:rsidR="00525C07">
        <w:rPr>
          <w:lang w:val="uk-UA"/>
        </w:rPr>
        <w:t>у</w:t>
      </w:r>
      <w:r w:rsidR="00525C07" w:rsidRPr="00525C07">
        <w:rPr>
          <w:sz w:val="18"/>
          <w:vertAlign w:val="superscript"/>
          <w:lang w:val="uk-UA"/>
        </w:rPr>
        <w:footnoteReference w:id="35"/>
      </w:r>
      <w:r w:rsidR="00525C07" w:rsidRPr="00525C07">
        <w:rPr>
          <w:lang w:val="uk-UA"/>
        </w:rPr>
        <w:t xml:space="preserve">. </w:t>
      </w:r>
      <w:r w:rsidR="00525C07">
        <w:rPr>
          <w:lang w:val="uk-UA"/>
        </w:rPr>
        <w:t>Чимало підлітків-мігрантів</w:t>
      </w:r>
      <w:r w:rsidR="00525C07" w:rsidRPr="00525C07">
        <w:rPr>
          <w:lang w:val="uk-UA"/>
        </w:rPr>
        <w:t xml:space="preserve"> позбавлені доступу д</w:t>
      </w:r>
      <w:r w:rsidR="00525C07">
        <w:rPr>
          <w:lang w:val="uk-UA"/>
        </w:rPr>
        <w:t>о освіти, житла, охорони здоров’</w:t>
      </w:r>
      <w:r w:rsidR="00525C07" w:rsidRPr="00525C07">
        <w:rPr>
          <w:lang w:val="uk-UA"/>
        </w:rPr>
        <w:t xml:space="preserve">я, дозвілля, участі, захисту і соціального забезпечення. Навіть </w:t>
      </w:r>
      <w:r w:rsidR="00525C07">
        <w:rPr>
          <w:lang w:val="uk-UA"/>
        </w:rPr>
        <w:t xml:space="preserve">якщо </w:t>
      </w:r>
      <w:r w:rsidR="00525C07" w:rsidRPr="00525C07">
        <w:rPr>
          <w:lang w:val="uk-UA"/>
        </w:rPr>
        <w:t xml:space="preserve">права на отримання послуг захищені законами і </w:t>
      </w:r>
      <w:r w:rsidR="00525C07">
        <w:rPr>
          <w:lang w:val="uk-UA"/>
        </w:rPr>
        <w:t>політикою</w:t>
      </w:r>
      <w:r w:rsidR="00D763C7">
        <w:rPr>
          <w:lang w:val="uk-UA"/>
        </w:rPr>
        <w:t xml:space="preserve"> країни</w:t>
      </w:r>
      <w:r w:rsidR="00525C07" w:rsidRPr="00525C07">
        <w:rPr>
          <w:lang w:val="uk-UA"/>
        </w:rPr>
        <w:t xml:space="preserve">, </w:t>
      </w:r>
      <w:r w:rsidR="00525C07">
        <w:rPr>
          <w:lang w:val="uk-UA"/>
        </w:rPr>
        <w:t xml:space="preserve">при зверненні за ними </w:t>
      </w:r>
      <w:r w:rsidR="00525C07" w:rsidRPr="00525C07">
        <w:rPr>
          <w:lang w:val="uk-UA"/>
        </w:rPr>
        <w:t xml:space="preserve">підлітки можуть стикатися з адміністративними та іншими перешкодами, </w:t>
      </w:r>
      <w:r w:rsidR="00525C07">
        <w:rPr>
          <w:lang w:val="uk-UA"/>
        </w:rPr>
        <w:t xml:space="preserve">такими, як </w:t>
      </w:r>
      <w:r w:rsidR="00525C07" w:rsidRPr="00525C07">
        <w:rPr>
          <w:lang w:val="uk-UA"/>
        </w:rPr>
        <w:t>вимог</w:t>
      </w:r>
      <w:r w:rsidR="00525C07">
        <w:rPr>
          <w:lang w:val="uk-UA"/>
        </w:rPr>
        <w:t>а</w:t>
      </w:r>
      <w:r w:rsidR="00525C07" w:rsidRPr="00525C07">
        <w:rPr>
          <w:lang w:val="uk-UA"/>
        </w:rPr>
        <w:t xml:space="preserve"> </w:t>
      </w:r>
      <w:r w:rsidR="00525C07">
        <w:rPr>
          <w:lang w:val="uk-UA"/>
        </w:rPr>
        <w:t xml:space="preserve">пред’явити </w:t>
      </w:r>
      <w:r w:rsidR="00525C07" w:rsidRPr="00525C07">
        <w:rPr>
          <w:lang w:val="uk-UA"/>
        </w:rPr>
        <w:t>документ</w:t>
      </w:r>
      <w:r w:rsidR="00525C07">
        <w:rPr>
          <w:lang w:val="uk-UA"/>
        </w:rPr>
        <w:t>и</w:t>
      </w:r>
      <w:r w:rsidR="00525C07" w:rsidRPr="00525C07">
        <w:rPr>
          <w:lang w:val="uk-UA"/>
        </w:rPr>
        <w:t>, що посвідчують особу</w:t>
      </w:r>
      <w:r w:rsidR="00525C07">
        <w:rPr>
          <w:lang w:val="uk-UA"/>
        </w:rPr>
        <w:t xml:space="preserve"> чи надати </w:t>
      </w:r>
      <w:r w:rsidR="00525C07" w:rsidRPr="00525C07">
        <w:rPr>
          <w:lang w:val="uk-UA"/>
        </w:rPr>
        <w:t xml:space="preserve">номер соціального страхування; </w:t>
      </w:r>
      <w:r w:rsidR="00525C07">
        <w:rPr>
          <w:lang w:val="uk-UA"/>
        </w:rPr>
        <w:t>неприємні і неточні процедур</w:t>
      </w:r>
      <w:r w:rsidR="00525C07" w:rsidRPr="00525C07">
        <w:rPr>
          <w:lang w:val="uk-UA"/>
        </w:rPr>
        <w:t>и визначення віку; фінансов</w:t>
      </w:r>
      <w:r w:rsidR="00525C07">
        <w:rPr>
          <w:lang w:val="uk-UA"/>
        </w:rPr>
        <w:t xml:space="preserve">і та </w:t>
      </w:r>
      <w:proofErr w:type="spellStart"/>
      <w:r w:rsidR="00525C07">
        <w:rPr>
          <w:lang w:val="uk-UA"/>
        </w:rPr>
        <w:t>мовні</w:t>
      </w:r>
      <w:proofErr w:type="spellEnd"/>
      <w:r w:rsidR="00525C07">
        <w:rPr>
          <w:lang w:val="uk-UA"/>
        </w:rPr>
        <w:t xml:space="preserve"> бар’єри</w:t>
      </w:r>
      <w:r w:rsidR="00525C07" w:rsidRPr="00525C07">
        <w:rPr>
          <w:lang w:val="uk-UA"/>
        </w:rPr>
        <w:t>; і небезпек</w:t>
      </w:r>
      <w:r w:rsidR="00525C07">
        <w:rPr>
          <w:lang w:val="uk-UA"/>
        </w:rPr>
        <w:t xml:space="preserve">а </w:t>
      </w:r>
      <w:r w:rsidR="00525C07" w:rsidRPr="00525C07">
        <w:rPr>
          <w:lang w:val="uk-UA"/>
        </w:rPr>
        <w:t xml:space="preserve">того, що </w:t>
      </w:r>
      <w:r w:rsidR="00525C07">
        <w:rPr>
          <w:lang w:val="uk-UA"/>
        </w:rPr>
        <w:t xml:space="preserve">звернення за послугою </w:t>
      </w:r>
      <w:r w:rsidR="00525C07" w:rsidRPr="00525C07">
        <w:rPr>
          <w:lang w:val="uk-UA"/>
        </w:rPr>
        <w:t>призведе до затримання або депортації</w:t>
      </w:r>
      <w:r w:rsidR="00525C07" w:rsidRPr="00525C07">
        <w:rPr>
          <w:sz w:val="18"/>
          <w:vertAlign w:val="superscript"/>
          <w:lang w:val="uk-UA"/>
        </w:rPr>
        <w:footnoteReference w:id="36"/>
      </w:r>
      <w:r w:rsidR="00525C07" w:rsidRPr="00525C07">
        <w:rPr>
          <w:lang w:val="uk-UA"/>
        </w:rPr>
        <w:t xml:space="preserve">. Комітет </w:t>
      </w:r>
      <w:r w:rsidR="00525C07">
        <w:rPr>
          <w:lang w:val="uk-UA"/>
        </w:rPr>
        <w:t xml:space="preserve">звертає увагу </w:t>
      </w:r>
      <w:r w:rsidR="00525C07" w:rsidRPr="00525C07">
        <w:rPr>
          <w:lang w:val="uk-UA"/>
        </w:rPr>
        <w:t>держав-учасни</w:t>
      </w:r>
      <w:r w:rsidR="00525C07">
        <w:rPr>
          <w:lang w:val="uk-UA"/>
        </w:rPr>
        <w:t>ць на свої комплексні рекомендації, розроблені спеціально щодо дітей-мігрантів</w:t>
      </w:r>
      <w:r w:rsidRPr="00525C07">
        <w:rPr>
          <w:sz w:val="18"/>
          <w:vertAlign w:val="superscript"/>
          <w:lang w:val="uk-UA"/>
        </w:rPr>
        <w:footnoteReference w:id="37"/>
      </w:r>
      <w:r w:rsidRPr="00525C07">
        <w:rPr>
          <w:lang w:val="uk-UA"/>
        </w:rPr>
        <w:t>.</w:t>
      </w:r>
    </w:p>
    <w:p w:rsidR="00D763C7" w:rsidRDefault="00A007F8" w:rsidP="00A007F8">
      <w:pPr>
        <w:pStyle w:val="SingleTxtGR"/>
        <w:rPr>
          <w:lang w:val="uk-UA"/>
        </w:rPr>
      </w:pPr>
      <w:r w:rsidRPr="00525C07">
        <w:rPr>
          <w:lang w:val="uk-UA"/>
        </w:rPr>
        <w:lastRenderedPageBreak/>
        <w:t>77.</w:t>
      </w:r>
      <w:r w:rsidRPr="00525C07">
        <w:rPr>
          <w:lang w:val="uk-UA"/>
        </w:rPr>
        <w:tab/>
      </w:r>
      <w:r w:rsidR="00D763C7" w:rsidRPr="00D763C7">
        <w:rPr>
          <w:lang w:val="uk-UA"/>
        </w:rPr>
        <w:t>Комітет підкреслює, що</w:t>
      </w:r>
      <w:r w:rsidR="00D763C7">
        <w:rPr>
          <w:lang w:val="uk-UA"/>
        </w:rPr>
        <w:t xml:space="preserve"> Стаття </w:t>
      </w:r>
      <w:r w:rsidR="00D763C7" w:rsidRPr="00D763C7">
        <w:rPr>
          <w:lang w:val="uk-UA"/>
        </w:rPr>
        <w:t>22 Конвенції</w:t>
      </w:r>
      <w:r w:rsidR="00D763C7">
        <w:rPr>
          <w:lang w:val="uk-UA"/>
        </w:rPr>
        <w:t xml:space="preserve"> визнає за дітьми-біженцями та шукачами притулку потребу у спеціальних </w:t>
      </w:r>
      <w:r w:rsidR="00D763C7" w:rsidRPr="00D763C7">
        <w:rPr>
          <w:lang w:val="uk-UA"/>
        </w:rPr>
        <w:t xml:space="preserve">заходах, щоб </w:t>
      </w:r>
      <w:r w:rsidR="00D763C7">
        <w:rPr>
          <w:lang w:val="uk-UA"/>
        </w:rPr>
        <w:t xml:space="preserve">мати змогу здійснювати свої права </w:t>
      </w:r>
      <w:r w:rsidR="00D763C7" w:rsidRPr="00D763C7">
        <w:rPr>
          <w:lang w:val="uk-UA"/>
        </w:rPr>
        <w:t xml:space="preserve">та користуватися додатковими гарантіями, наданими ним в рамках міжнародного режиму захисту біженців. </w:t>
      </w:r>
      <w:r w:rsidR="00D763C7">
        <w:rPr>
          <w:lang w:val="uk-UA"/>
        </w:rPr>
        <w:t xml:space="preserve">Цих </w:t>
      </w:r>
      <w:r w:rsidR="00D763C7" w:rsidRPr="00D763C7">
        <w:rPr>
          <w:lang w:val="uk-UA"/>
        </w:rPr>
        <w:t xml:space="preserve">підлітків </w:t>
      </w:r>
      <w:r w:rsidR="00D763C7">
        <w:rPr>
          <w:lang w:val="uk-UA"/>
        </w:rPr>
        <w:t xml:space="preserve">не слід </w:t>
      </w:r>
      <w:r w:rsidR="00D763C7" w:rsidRPr="00D763C7">
        <w:rPr>
          <w:lang w:val="uk-UA"/>
        </w:rPr>
        <w:t xml:space="preserve">піддавати процедурам </w:t>
      </w:r>
      <w:r w:rsidR="00D763C7">
        <w:rPr>
          <w:lang w:val="uk-UA"/>
        </w:rPr>
        <w:t>прискореної висилки</w:t>
      </w:r>
      <w:r w:rsidR="00D763C7" w:rsidRPr="00D763C7">
        <w:rPr>
          <w:lang w:val="uk-UA"/>
        </w:rPr>
        <w:t xml:space="preserve">, а </w:t>
      </w:r>
      <w:r w:rsidR="00D763C7">
        <w:rPr>
          <w:lang w:val="uk-UA"/>
        </w:rPr>
        <w:t xml:space="preserve">радше </w:t>
      </w:r>
      <w:r w:rsidR="00D763C7" w:rsidRPr="00D763C7">
        <w:rPr>
          <w:lang w:val="uk-UA"/>
        </w:rPr>
        <w:t>застосовувати до них процедури розгляду цілей в</w:t>
      </w:r>
      <w:r w:rsidR="00D763C7">
        <w:rPr>
          <w:lang w:val="uk-UA"/>
        </w:rPr>
        <w:t>’</w:t>
      </w:r>
      <w:r w:rsidR="00D763C7" w:rsidRPr="00D763C7">
        <w:rPr>
          <w:lang w:val="uk-UA"/>
        </w:rPr>
        <w:t xml:space="preserve">їзду на територію і не повертати їх </w:t>
      </w:r>
      <w:r w:rsidR="00D763C7">
        <w:rPr>
          <w:lang w:val="uk-UA"/>
        </w:rPr>
        <w:t>чи відмовляти їм у в’їзді в країну</w:t>
      </w:r>
      <w:r w:rsidR="00D763C7" w:rsidRPr="00D763C7">
        <w:rPr>
          <w:lang w:val="uk-UA"/>
        </w:rPr>
        <w:t>, перш ніж будуть визначені їх</w:t>
      </w:r>
      <w:r w:rsidR="00D763C7">
        <w:rPr>
          <w:lang w:val="uk-UA"/>
        </w:rPr>
        <w:t xml:space="preserve">ні найкращі </w:t>
      </w:r>
      <w:r w:rsidR="00D763C7" w:rsidRPr="00D763C7">
        <w:rPr>
          <w:lang w:val="uk-UA"/>
        </w:rPr>
        <w:t>інтереси</w:t>
      </w:r>
      <w:r w:rsidR="00D763C7">
        <w:rPr>
          <w:lang w:val="uk-UA"/>
        </w:rPr>
        <w:t>,</w:t>
      </w:r>
      <w:r w:rsidR="00D763C7" w:rsidRPr="00D763C7">
        <w:rPr>
          <w:lang w:val="uk-UA"/>
        </w:rPr>
        <w:t xml:space="preserve"> і </w:t>
      </w:r>
      <w:r w:rsidR="00D763C7">
        <w:rPr>
          <w:lang w:val="uk-UA"/>
        </w:rPr>
        <w:t xml:space="preserve">не </w:t>
      </w:r>
      <w:r w:rsidR="00D763C7" w:rsidRPr="00D763C7">
        <w:rPr>
          <w:lang w:val="uk-UA"/>
        </w:rPr>
        <w:t>буде встановлено, що вони потребують міжнародно</w:t>
      </w:r>
      <w:r w:rsidR="00D763C7">
        <w:rPr>
          <w:lang w:val="uk-UA"/>
        </w:rPr>
        <w:t>го захисту</w:t>
      </w:r>
      <w:r w:rsidR="00D763C7" w:rsidRPr="00D763C7">
        <w:rPr>
          <w:lang w:val="uk-UA"/>
        </w:rPr>
        <w:t xml:space="preserve">. </w:t>
      </w:r>
      <w:r w:rsidR="00D763C7">
        <w:rPr>
          <w:lang w:val="uk-UA"/>
        </w:rPr>
        <w:t>Відповідно до зобов’язань держав-учасниць за Статтею 2 поважати та забезпечувати всі права кожної дитини, яка перебуває в межах їх юрисдикції незалежно від її статусу</w:t>
      </w:r>
      <w:r w:rsidR="00D763C7" w:rsidRPr="00D763C7">
        <w:rPr>
          <w:lang w:val="uk-UA"/>
        </w:rPr>
        <w:t xml:space="preserve">, державам </w:t>
      </w:r>
      <w:r w:rsidR="00D763C7">
        <w:rPr>
          <w:lang w:val="uk-UA"/>
        </w:rPr>
        <w:t xml:space="preserve">необхідно ухвалити законодавство </w:t>
      </w:r>
      <w:r w:rsidR="00D763C7" w:rsidRPr="00D763C7">
        <w:rPr>
          <w:lang w:val="uk-UA"/>
        </w:rPr>
        <w:t>з урахуванням вікових та гендерних особливостей</w:t>
      </w:r>
      <w:r w:rsidR="00D763C7">
        <w:rPr>
          <w:lang w:val="uk-UA"/>
        </w:rPr>
        <w:t xml:space="preserve"> та на основі принципу забезпечення найкращих інтересів дитини, </w:t>
      </w:r>
      <w:r w:rsidR="00D763C7" w:rsidRPr="00D763C7">
        <w:rPr>
          <w:lang w:val="uk-UA"/>
        </w:rPr>
        <w:t xml:space="preserve">яке </w:t>
      </w:r>
      <w:r w:rsidR="00D763C7">
        <w:rPr>
          <w:lang w:val="uk-UA"/>
        </w:rPr>
        <w:t xml:space="preserve">б </w:t>
      </w:r>
      <w:r w:rsidR="00D763C7" w:rsidRPr="00D763C7">
        <w:rPr>
          <w:lang w:val="uk-UA"/>
        </w:rPr>
        <w:t xml:space="preserve">регулювало </w:t>
      </w:r>
      <w:r w:rsidR="00D763C7">
        <w:rPr>
          <w:lang w:val="uk-UA"/>
        </w:rPr>
        <w:t xml:space="preserve">справи як підлітків без супроводу, так і розлучених з сім’ями підлітків </w:t>
      </w:r>
      <w:r w:rsidR="00D763C7" w:rsidRPr="00D763C7">
        <w:rPr>
          <w:lang w:val="uk-UA"/>
        </w:rPr>
        <w:t>з чис</w:t>
      </w:r>
      <w:r w:rsidR="00D763C7">
        <w:rPr>
          <w:lang w:val="uk-UA"/>
        </w:rPr>
        <w:t>ла біженців та шукачів притулку</w:t>
      </w:r>
      <w:r w:rsidR="00D763C7" w:rsidRPr="00D763C7">
        <w:rPr>
          <w:lang w:val="uk-UA"/>
        </w:rPr>
        <w:t xml:space="preserve">, </w:t>
      </w:r>
      <w:r w:rsidR="00D763C7">
        <w:rPr>
          <w:lang w:val="uk-UA"/>
        </w:rPr>
        <w:t xml:space="preserve">а також мігрантів; в якому пріоритетності набувала б оцінка </w:t>
      </w:r>
      <w:r w:rsidR="00D763C7" w:rsidRPr="00D763C7">
        <w:rPr>
          <w:lang w:val="uk-UA"/>
        </w:rPr>
        <w:t>п</w:t>
      </w:r>
      <w:r w:rsidR="00D763C7">
        <w:rPr>
          <w:lang w:val="uk-UA"/>
        </w:rPr>
        <w:t xml:space="preserve">отреб у захисті, а не встановлення </w:t>
      </w:r>
      <w:r w:rsidR="00D763C7" w:rsidRPr="00D763C7">
        <w:rPr>
          <w:lang w:val="uk-UA"/>
        </w:rPr>
        <w:t>імміграційного статусу</w:t>
      </w:r>
      <w:r w:rsidR="00D763C7">
        <w:rPr>
          <w:lang w:val="uk-UA"/>
        </w:rPr>
        <w:t>; яке б забороняло пов’</w:t>
      </w:r>
      <w:r w:rsidR="00D763C7" w:rsidRPr="00D763C7">
        <w:rPr>
          <w:lang w:val="uk-UA"/>
        </w:rPr>
        <w:t>язане з імміграцією утримання під вартою</w:t>
      </w:r>
      <w:r w:rsidR="00D763C7">
        <w:rPr>
          <w:lang w:val="uk-UA"/>
        </w:rPr>
        <w:t xml:space="preserve">; і яке б спиралося </w:t>
      </w:r>
      <w:r w:rsidR="00D763C7" w:rsidRPr="00D763C7">
        <w:rPr>
          <w:lang w:val="uk-UA"/>
        </w:rPr>
        <w:t>на рекомендації</w:t>
      </w:r>
      <w:r w:rsidR="00D763C7">
        <w:rPr>
          <w:lang w:val="uk-UA"/>
        </w:rPr>
        <w:t xml:space="preserve"> зауваження</w:t>
      </w:r>
      <w:r w:rsidR="00D763C7" w:rsidRPr="00D763C7">
        <w:rPr>
          <w:lang w:val="uk-UA"/>
        </w:rPr>
        <w:t xml:space="preserve"> загального порядку № 6 (2005) про </w:t>
      </w:r>
      <w:r w:rsidR="00D763C7">
        <w:rPr>
          <w:lang w:val="uk-UA"/>
        </w:rPr>
        <w:t xml:space="preserve">поводження з дітьми без супроводу і розлученими </w:t>
      </w:r>
      <w:r w:rsidR="00D763C7" w:rsidRPr="00D763C7">
        <w:rPr>
          <w:lang w:val="uk-UA"/>
        </w:rPr>
        <w:t>дітьми за межами країни їх</w:t>
      </w:r>
      <w:r w:rsidR="00D763C7">
        <w:rPr>
          <w:lang w:val="uk-UA"/>
        </w:rPr>
        <w:t>нього походження</w:t>
      </w:r>
      <w:r w:rsidR="00D763C7" w:rsidRPr="00D763C7">
        <w:rPr>
          <w:lang w:val="uk-UA"/>
        </w:rPr>
        <w:t xml:space="preserve"> з метою </w:t>
      </w:r>
      <w:r w:rsidR="00D763C7">
        <w:rPr>
          <w:lang w:val="uk-UA"/>
        </w:rPr>
        <w:t xml:space="preserve">ліквідації </w:t>
      </w:r>
      <w:r w:rsidR="00D763C7" w:rsidRPr="00D763C7">
        <w:rPr>
          <w:lang w:val="uk-UA"/>
        </w:rPr>
        <w:t>особливої</w:t>
      </w:r>
      <w:r w:rsidR="00D763C7" w:rsidRPr="00D763C7">
        <w:rPr>
          <w:rFonts w:ascii="Cambria Math" w:hAnsi="Cambria Math" w:cs="Cambria Math"/>
          <w:lang w:val="uk-UA"/>
        </w:rPr>
        <w:t>​​</w:t>
      </w:r>
      <w:r w:rsidR="00D763C7">
        <w:rPr>
          <w:rFonts w:ascii="Cambria Math" w:hAnsi="Cambria Math" w:cs="Cambria Math"/>
          <w:lang w:val="uk-UA"/>
        </w:rPr>
        <w:t xml:space="preserve"> </w:t>
      </w:r>
      <w:r w:rsidR="00D763C7" w:rsidRPr="00D763C7">
        <w:rPr>
          <w:lang w:val="uk-UA"/>
        </w:rPr>
        <w:t>уразливості цих підлітків</w:t>
      </w:r>
      <w:r w:rsidR="00D763C7" w:rsidRPr="00525C07">
        <w:rPr>
          <w:sz w:val="18"/>
          <w:vertAlign w:val="superscript"/>
          <w:lang w:val="uk-UA"/>
        </w:rPr>
        <w:footnoteReference w:id="38"/>
      </w:r>
      <w:r w:rsidR="00D763C7" w:rsidRPr="00D763C7">
        <w:rPr>
          <w:lang w:val="uk-UA"/>
        </w:rPr>
        <w:t>. Держав</w:t>
      </w:r>
      <w:r w:rsidR="00D763C7">
        <w:rPr>
          <w:lang w:val="uk-UA"/>
        </w:rPr>
        <w:t xml:space="preserve">ам також необхідно запровадити заходи для реагування на чинники, що змушують підлітків мігрувати, та </w:t>
      </w:r>
      <w:r w:rsidR="00D763C7" w:rsidRPr="00D763C7">
        <w:rPr>
          <w:lang w:val="uk-UA"/>
        </w:rPr>
        <w:t>вразлив</w:t>
      </w:r>
      <w:r w:rsidR="00D763C7">
        <w:rPr>
          <w:lang w:val="uk-UA"/>
        </w:rPr>
        <w:t xml:space="preserve">ості й </w:t>
      </w:r>
      <w:r w:rsidR="00D763C7" w:rsidRPr="00D763C7">
        <w:rPr>
          <w:lang w:val="uk-UA"/>
        </w:rPr>
        <w:t xml:space="preserve">порушення прав, з якими стикаються підлітки, залишені </w:t>
      </w:r>
      <w:r w:rsidR="00D763C7">
        <w:rPr>
          <w:lang w:val="uk-UA"/>
        </w:rPr>
        <w:t xml:space="preserve">вдома </w:t>
      </w:r>
      <w:r w:rsidR="00D763C7" w:rsidRPr="00D763C7">
        <w:rPr>
          <w:lang w:val="uk-UA"/>
        </w:rPr>
        <w:t xml:space="preserve">батьками-мігрантами, </w:t>
      </w:r>
      <w:r w:rsidR="00D763C7">
        <w:rPr>
          <w:lang w:val="uk-UA"/>
        </w:rPr>
        <w:t>зокрема, залишення школи</w:t>
      </w:r>
      <w:r w:rsidR="00D763C7" w:rsidRPr="00D763C7">
        <w:rPr>
          <w:lang w:val="uk-UA"/>
        </w:rPr>
        <w:t xml:space="preserve">, дитяча праця, вразливість </w:t>
      </w:r>
      <w:r w:rsidR="00D763C7">
        <w:rPr>
          <w:lang w:val="uk-UA"/>
        </w:rPr>
        <w:t xml:space="preserve">до насильства і злочинної діяльності, а також </w:t>
      </w:r>
      <w:r w:rsidR="00D763C7" w:rsidRPr="00D763C7">
        <w:rPr>
          <w:lang w:val="uk-UA"/>
        </w:rPr>
        <w:t xml:space="preserve">обтяжливі </w:t>
      </w:r>
      <w:r w:rsidR="00D763C7">
        <w:rPr>
          <w:lang w:val="uk-UA"/>
        </w:rPr>
        <w:t>домашні обов’</w:t>
      </w:r>
      <w:r w:rsidR="00D763C7" w:rsidRPr="00D763C7">
        <w:rPr>
          <w:lang w:val="uk-UA"/>
        </w:rPr>
        <w:t>язки</w:t>
      </w:r>
      <w:r w:rsidR="00D763C7">
        <w:rPr>
          <w:lang w:val="uk-UA"/>
        </w:rPr>
        <w:t>.</w:t>
      </w:r>
    </w:p>
    <w:p w:rsidR="00A007F8" w:rsidRPr="00D763C7" w:rsidRDefault="00A007F8" w:rsidP="0067613A">
      <w:pPr>
        <w:pStyle w:val="H23GR"/>
        <w:rPr>
          <w:lang w:val="uk-UA"/>
        </w:rPr>
      </w:pPr>
      <w:r w:rsidRPr="00A007F8">
        <w:tab/>
      </w:r>
      <w:r w:rsidRPr="00A007F8">
        <w:tab/>
      </w:r>
      <w:r w:rsidR="00D763C7" w:rsidRPr="00D763C7">
        <w:rPr>
          <w:lang w:val="uk-UA"/>
        </w:rPr>
        <w:t>Торгівля</w:t>
      </w:r>
      <w:r w:rsidRPr="00D763C7">
        <w:rPr>
          <w:lang w:val="uk-UA"/>
        </w:rPr>
        <w:t xml:space="preserve"> людьми</w:t>
      </w:r>
    </w:p>
    <w:p w:rsidR="00A007F8" w:rsidRPr="00D763C7" w:rsidRDefault="00A007F8" w:rsidP="00D763C7">
      <w:pPr>
        <w:pStyle w:val="SingleTxtGR"/>
        <w:rPr>
          <w:lang w:val="uk-UA"/>
        </w:rPr>
      </w:pPr>
      <w:r w:rsidRPr="00D763C7">
        <w:rPr>
          <w:lang w:val="uk-UA"/>
        </w:rPr>
        <w:t>78.</w:t>
      </w:r>
      <w:r w:rsidRPr="00D763C7">
        <w:rPr>
          <w:lang w:val="uk-UA"/>
        </w:rPr>
        <w:tab/>
      </w:r>
      <w:r w:rsidR="00D763C7" w:rsidRPr="00D763C7">
        <w:rPr>
          <w:lang w:val="uk-UA"/>
        </w:rPr>
        <w:t xml:space="preserve">Багато підлітків </w:t>
      </w:r>
      <w:r w:rsidR="00D763C7">
        <w:rPr>
          <w:lang w:val="uk-UA"/>
        </w:rPr>
        <w:t xml:space="preserve">наражаються на </w:t>
      </w:r>
      <w:r w:rsidR="00D763C7" w:rsidRPr="00D763C7">
        <w:rPr>
          <w:lang w:val="uk-UA"/>
        </w:rPr>
        <w:t xml:space="preserve">ризик стати жертвами торгівлі людьми з економічних причин або з метою сексуальної експлуатації. Державам настійно рекомендується </w:t>
      </w:r>
      <w:r w:rsidR="00D763C7">
        <w:rPr>
          <w:lang w:val="uk-UA"/>
        </w:rPr>
        <w:t xml:space="preserve">запровадити </w:t>
      </w:r>
      <w:r w:rsidR="00D763C7" w:rsidRPr="00D763C7">
        <w:rPr>
          <w:lang w:val="uk-UA"/>
        </w:rPr>
        <w:t xml:space="preserve">комплексний і системний механізм збору даних про </w:t>
      </w:r>
      <w:r w:rsidR="00D763C7">
        <w:rPr>
          <w:lang w:val="uk-UA"/>
        </w:rPr>
        <w:t>продаж, торгівлю та викрадення дітей</w:t>
      </w:r>
      <w:r w:rsidR="00D763C7" w:rsidRPr="00D763C7">
        <w:rPr>
          <w:lang w:val="uk-UA"/>
        </w:rPr>
        <w:t xml:space="preserve">, забезпечуючи </w:t>
      </w:r>
      <w:r w:rsidR="00D763C7">
        <w:rPr>
          <w:lang w:val="uk-UA"/>
        </w:rPr>
        <w:t>належну деталізацію таких даних та</w:t>
      </w:r>
      <w:r w:rsidR="00D763C7" w:rsidRPr="00D763C7">
        <w:rPr>
          <w:lang w:val="uk-UA"/>
        </w:rPr>
        <w:t xml:space="preserve"> приділяючи особливу увагу дітям, які </w:t>
      </w:r>
      <w:r w:rsidR="00D763C7">
        <w:rPr>
          <w:lang w:val="uk-UA"/>
        </w:rPr>
        <w:t>знаходяться у найбільш вразливому становищі</w:t>
      </w:r>
      <w:r w:rsidR="00D763C7" w:rsidRPr="00D763C7">
        <w:rPr>
          <w:lang w:val="uk-UA"/>
        </w:rPr>
        <w:t xml:space="preserve">. Держави повинні також виділяти кошти на послуги з реабілітації, реінтеграції та надання психологічної підтримки постраждалим дітям. </w:t>
      </w:r>
      <w:r w:rsidR="00D763C7">
        <w:rPr>
          <w:lang w:val="uk-UA"/>
        </w:rPr>
        <w:t>У</w:t>
      </w:r>
      <w:r w:rsidR="00D763C7" w:rsidRPr="00D763C7">
        <w:rPr>
          <w:lang w:val="uk-UA"/>
        </w:rPr>
        <w:t xml:space="preserve">вагу </w:t>
      </w:r>
      <w:r w:rsidR="00D763C7">
        <w:rPr>
          <w:lang w:val="uk-UA"/>
        </w:rPr>
        <w:t xml:space="preserve">слід звертати й </w:t>
      </w:r>
      <w:r w:rsidR="00D763C7" w:rsidRPr="00D763C7">
        <w:rPr>
          <w:lang w:val="uk-UA"/>
        </w:rPr>
        <w:t>н</w:t>
      </w:r>
      <w:r w:rsidR="00D763C7">
        <w:rPr>
          <w:lang w:val="uk-UA"/>
        </w:rPr>
        <w:t>а гендерні аспекти уразливості та</w:t>
      </w:r>
      <w:r w:rsidR="00D763C7" w:rsidRPr="00D763C7">
        <w:rPr>
          <w:lang w:val="uk-UA"/>
        </w:rPr>
        <w:t xml:space="preserve"> експлуатації. З метою </w:t>
      </w:r>
      <w:r w:rsidR="00D763C7">
        <w:rPr>
          <w:lang w:val="uk-UA"/>
        </w:rPr>
        <w:t xml:space="preserve">підвищення </w:t>
      </w:r>
      <w:r w:rsidR="00D763C7" w:rsidRPr="00D763C7">
        <w:rPr>
          <w:lang w:val="uk-UA"/>
        </w:rPr>
        <w:t>обізнаності батьків і дітей про небезпеки як внутрішньої, так і міжнародної торгівлі людьми</w:t>
      </w:r>
      <w:r w:rsidR="00D763C7">
        <w:rPr>
          <w:lang w:val="uk-UA"/>
        </w:rPr>
        <w:t xml:space="preserve">, необхідно проводити </w:t>
      </w:r>
      <w:r w:rsidR="00D763C7" w:rsidRPr="00D763C7">
        <w:rPr>
          <w:lang w:val="uk-UA"/>
        </w:rPr>
        <w:t xml:space="preserve">інформаційно-просвітницькі заходи, в тому числі </w:t>
      </w:r>
      <w:r w:rsidR="00D763C7">
        <w:rPr>
          <w:lang w:val="uk-UA"/>
        </w:rPr>
        <w:t>у соціальних мережах</w:t>
      </w:r>
      <w:r w:rsidR="00D763C7" w:rsidRPr="00D763C7">
        <w:rPr>
          <w:lang w:val="uk-UA"/>
        </w:rPr>
        <w:t xml:space="preserve">. </w:t>
      </w:r>
      <w:r w:rsidR="00D763C7">
        <w:rPr>
          <w:lang w:val="uk-UA"/>
        </w:rPr>
        <w:t xml:space="preserve">Комітет закликає держави </w:t>
      </w:r>
      <w:r w:rsidR="00D763C7" w:rsidRPr="00D763C7">
        <w:rPr>
          <w:lang w:val="uk-UA"/>
        </w:rPr>
        <w:t xml:space="preserve">ратифікувати Факультативний протокол до Конвенції про права дитини щодо торгівлі дітьми, дитячої проституції і дитячої порнографії, і привести </w:t>
      </w:r>
      <w:r w:rsidR="00D763C7">
        <w:rPr>
          <w:lang w:val="uk-UA"/>
        </w:rPr>
        <w:t>національне</w:t>
      </w:r>
      <w:r w:rsidR="00D763C7" w:rsidRPr="00D763C7">
        <w:rPr>
          <w:lang w:val="uk-UA"/>
        </w:rPr>
        <w:t xml:space="preserve"> законодавство у відповідність з його положеннями</w:t>
      </w:r>
      <w:r w:rsidRPr="00D763C7">
        <w:rPr>
          <w:lang w:val="uk-UA"/>
        </w:rPr>
        <w:t>.</w:t>
      </w:r>
    </w:p>
    <w:p w:rsidR="00A007F8" w:rsidRPr="00D763C7" w:rsidRDefault="00A007F8" w:rsidP="0067613A">
      <w:pPr>
        <w:pStyle w:val="H23GR"/>
        <w:rPr>
          <w:lang w:val="uk-UA"/>
        </w:rPr>
      </w:pPr>
      <w:r w:rsidRPr="00D763C7">
        <w:rPr>
          <w:lang w:val="uk-UA"/>
        </w:rPr>
        <w:tab/>
      </w:r>
      <w:r w:rsidRPr="00D763C7">
        <w:rPr>
          <w:lang w:val="uk-UA"/>
        </w:rPr>
        <w:tab/>
      </w:r>
      <w:r w:rsidR="00FC5583" w:rsidRPr="00D763C7">
        <w:rPr>
          <w:lang w:val="uk-UA"/>
        </w:rPr>
        <w:t>Конфлікти</w:t>
      </w:r>
      <w:r w:rsidR="00FC5583">
        <w:rPr>
          <w:lang w:val="uk-UA"/>
        </w:rPr>
        <w:t xml:space="preserve"> і кризи</w:t>
      </w:r>
    </w:p>
    <w:p w:rsidR="00FC5583" w:rsidRDefault="00A007F8" w:rsidP="00A007F8">
      <w:pPr>
        <w:pStyle w:val="SingleTxtGR"/>
        <w:rPr>
          <w:lang w:val="uk-UA"/>
        </w:rPr>
      </w:pPr>
      <w:r w:rsidRPr="00D763C7">
        <w:rPr>
          <w:lang w:val="uk-UA"/>
        </w:rPr>
        <w:t>79.</w:t>
      </w:r>
      <w:r w:rsidRPr="00D763C7">
        <w:rPr>
          <w:lang w:val="uk-UA"/>
        </w:rPr>
        <w:tab/>
      </w:r>
      <w:r w:rsidR="00FC5583">
        <w:rPr>
          <w:lang w:val="uk-UA"/>
        </w:rPr>
        <w:t>З</w:t>
      </w:r>
      <w:r w:rsidR="00FC5583" w:rsidRPr="00FC5583">
        <w:rPr>
          <w:lang w:val="uk-UA"/>
        </w:rPr>
        <w:t>бройн</w:t>
      </w:r>
      <w:r w:rsidR="00FC5583">
        <w:rPr>
          <w:lang w:val="uk-UA"/>
        </w:rPr>
        <w:t xml:space="preserve">і </w:t>
      </w:r>
      <w:r w:rsidR="00FC5583" w:rsidRPr="00FC5583">
        <w:rPr>
          <w:lang w:val="uk-UA"/>
        </w:rPr>
        <w:t>конфлікт</w:t>
      </w:r>
      <w:r w:rsidR="00FC5583">
        <w:rPr>
          <w:lang w:val="uk-UA"/>
        </w:rPr>
        <w:t xml:space="preserve">и та </w:t>
      </w:r>
      <w:r w:rsidR="00FC5583" w:rsidRPr="00FC5583">
        <w:rPr>
          <w:lang w:val="uk-UA"/>
        </w:rPr>
        <w:t>гуманітарн</w:t>
      </w:r>
      <w:r w:rsidR="00FC5583">
        <w:rPr>
          <w:lang w:val="uk-UA"/>
        </w:rPr>
        <w:t xml:space="preserve">і </w:t>
      </w:r>
      <w:r w:rsidR="00FC5583" w:rsidRPr="00FC5583">
        <w:rPr>
          <w:lang w:val="uk-UA"/>
        </w:rPr>
        <w:t>катастроф</w:t>
      </w:r>
      <w:r w:rsidR="00FC5583">
        <w:rPr>
          <w:lang w:val="uk-UA"/>
        </w:rPr>
        <w:t>и</w:t>
      </w:r>
      <w:r w:rsidR="00FC5583" w:rsidRPr="00FC5583">
        <w:rPr>
          <w:lang w:val="uk-UA"/>
        </w:rPr>
        <w:t xml:space="preserve"> </w:t>
      </w:r>
      <w:r w:rsidR="00FC5583">
        <w:rPr>
          <w:lang w:val="uk-UA"/>
        </w:rPr>
        <w:t>руйнують соціальні норми, підривають структури сімейної та громадської підтримки</w:t>
      </w:r>
      <w:r w:rsidR="00FC5583" w:rsidRPr="00FC5583">
        <w:rPr>
          <w:lang w:val="uk-UA"/>
        </w:rPr>
        <w:t xml:space="preserve">. Вони змушують багатьох </w:t>
      </w:r>
      <w:r w:rsidR="00FC5583">
        <w:rPr>
          <w:lang w:val="uk-UA"/>
        </w:rPr>
        <w:t>переміщених та уражених кризою підлітків брати на себе обов’</w:t>
      </w:r>
      <w:r w:rsidR="00FC5583" w:rsidRPr="00FC5583">
        <w:rPr>
          <w:lang w:val="uk-UA"/>
        </w:rPr>
        <w:t xml:space="preserve">язки </w:t>
      </w:r>
      <w:r w:rsidR="00FC5583" w:rsidRPr="00FC5583">
        <w:rPr>
          <w:lang w:val="uk-UA"/>
        </w:rPr>
        <w:lastRenderedPageBreak/>
        <w:t xml:space="preserve">дорослих і </w:t>
      </w:r>
      <w:r w:rsidR="00FC5583">
        <w:rPr>
          <w:lang w:val="uk-UA"/>
        </w:rPr>
        <w:t xml:space="preserve">наражають їх на ризик </w:t>
      </w:r>
      <w:r w:rsidR="00FC5583" w:rsidRPr="00FC5583">
        <w:rPr>
          <w:lang w:val="uk-UA"/>
        </w:rPr>
        <w:t xml:space="preserve">сексуального </w:t>
      </w:r>
      <w:r w:rsidR="00FC5583">
        <w:rPr>
          <w:lang w:val="uk-UA"/>
        </w:rPr>
        <w:t xml:space="preserve">та ґендерного </w:t>
      </w:r>
      <w:r w:rsidR="00FC5583" w:rsidRPr="00FC5583">
        <w:rPr>
          <w:lang w:val="uk-UA"/>
        </w:rPr>
        <w:t xml:space="preserve">насильства, дитячих і примусових шлюбів і торгівлі людьми. </w:t>
      </w:r>
      <w:r w:rsidR="00FC5583">
        <w:rPr>
          <w:lang w:val="uk-UA"/>
        </w:rPr>
        <w:t>Більше того</w:t>
      </w:r>
      <w:r w:rsidR="00FC5583" w:rsidRPr="00FC5583">
        <w:rPr>
          <w:lang w:val="uk-UA"/>
        </w:rPr>
        <w:t>, підлітки в таких ситуаціях</w:t>
      </w:r>
      <w:r w:rsidR="00FC5583">
        <w:rPr>
          <w:lang w:val="uk-UA"/>
        </w:rPr>
        <w:t xml:space="preserve"> зазвичай </w:t>
      </w:r>
      <w:r w:rsidR="00FC5583" w:rsidRPr="00FC5583">
        <w:rPr>
          <w:lang w:val="uk-UA"/>
        </w:rPr>
        <w:t>позбавлені можливост</w:t>
      </w:r>
      <w:r w:rsidR="00FC5583">
        <w:rPr>
          <w:lang w:val="uk-UA"/>
        </w:rPr>
        <w:t xml:space="preserve">і для навчання, професійної підготовки і безпечного </w:t>
      </w:r>
      <w:r w:rsidR="00FC5583" w:rsidRPr="00FC5583">
        <w:rPr>
          <w:lang w:val="uk-UA"/>
        </w:rPr>
        <w:t>працевлаштування</w:t>
      </w:r>
      <w:r w:rsidR="00FC5583">
        <w:rPr>
          <w:lang w:val="uk-UA"/>
        </w:rPr>
        <w:t>, а також доступу до належних послуг й</w:t>
      </w:r>
      <w:r w:rsidR="00FC5583" w:rsidRPr="00FC5583">
        <w:rPr>
          <w:lang w:val="uk-UA"/>
        </w:rPr>
        <w:t xml:space="preserve"> інформації </w:t>
      </w:r>
      <w:r w:rsidR="00FC5583">
        <w:rPr>
          <w:lang w:val="uk-UA"/>
        </w:rPr>
        <w:t xml:space="preserve">щодо </w:t>
      </w:r>
      <w:r w:rsidR="00FC5583" w:rsidRPr="00FC5583">
        <w:rPr>
          <w:lang w:val="uk-UA"/>
        </w:rPr>
        <w:t>сексуа</w:t>
      </w:r>
      <w:r w:rsidR="00FC5583">
        <w:rPr>
          <w:lang w:val="uk-UA"/>
        </w:rPr>
        <w:t>льного і репродуктивного здоров’</w:t>
      </w:r>
      <w:r w:rsidR="00FC5583" w:rsidRPr="00FC5583">
        <w:rPr>
          <w:lang w:val="uk-UA"/>
        </w:rPr>
        <w:t>я</w:t>
      </w:r>
      <w:r w:rsidR="00FC5583">
        <w:rPr>
          <w:lang w:val="uk-UA"/>
        </w:rPr>
        <w:t xml:space="preserve">; вони можуть потерпати від ізоляції, дискримінації та стигми; у них можуть з’явитися проблеми, пов’язані з психічним здоров’ям та ризикованою поведінкою. </w:t>
      </w:r>
    </w:p>
    <w:p w:rsidR="00A007F8" w:rsidRPr="00D763C7" w:rsidRDefault="00A007F8" w:rsidP="00A007F8">
      <w:pPr>
        <w:pStyle w:val="SingleTxtGR"/>
        <w:rPr>
          <w:lang w:val="uk-UA"/>
        </w:rPr>
      </w:pPr>
      <w:r w:rsidRPr="00D763C7">
        <w:rPr>
          <w:lang w:val="uk-UA"/>
        </w:rPr>
        <w:t>80.</w:t>
      </w:r>
      <w:r w:rsidRPr="00D763C7">
        <w:rPr>
          <w:lang w:val="uk-UA"/>
        </w:rPr>
        <w:tab/>
      </w:r>
      <w:r w:rsidR="00FC5583" w:rsidRPr="00FC5583">
        <w:rPr>
          <w:lang w:val="uk-UA"/>
        </w:rPr>
        <w:t xml:space="preserve">Комітет </w:t>
      </w:r>
      <w:r w:rsidR="00FC5583">
        <w:rPr>
          <w:lang w:val="uk-UA"/>
        </w:rPr>
        <w:t xml:space="preserve">стурбований неспроможністю </w:t>
      </w:r>
      <w:r w:rsidR="00FC5583" w:rsidRPr="00FC5583">
        <w:rPr>
          <w:lang w:val="uk-UA"/>
        </w:rPr>
        <w:t xml:space="preserve">гуманітарних програм реагувати на конкретні потреби і права підлітків. </w:t>
      </w:r>
      <w:r w:rsidR="00FC5583">
        <w:rPr>
          <w:lang w:val="uk-UA"/>
        </w:rPr>
        <w:t xml:space="preserve">Комітет </w:t>
      </w:r>
      <w:r w:rsidR="00FC5583" w:rsidRPr="00FC5583">
        <w:rPr>
          <w:lang w:val="uk-UA"/>
        </w:rPr>
        <w:t>закликає держави-учасни</w:t>
      </w:r>
      <w:r w:rsidR="00FC5583">
        <w:rPr>
          <w:lang w:val="uk-UA"/>
        </w:rPr>
        <w:t xml:space="preserve">ці </w:t>
      </w:r>
      <w:r w:rsidR="00FC5583" w:rsidRPr="00FC5583">
        <w:rPr>
          <w:lang w:val="uk-UA"/>
        </w:rPr>
        <w:t>забезпеч</w:t>
      </w:r>
      <w:r w:rsidR="00FC5583">
        <w:rPr>
          <w:lang w:val="uk-UA"/>
        </w:rPr>
        <w:t xml:space="preserve">увати підліткам </w:t>
      </w:r>
      <w:r w:rsidR="00FC5583" w:rsidRPr="00FC5583">
        <w:rPr>
          <w:lang w:val="uk-UA"/>
        </w:rPr>
        <w:t>систематичн</w:t>
      </w:r>
      <w:r w:rsidR="00FC5583">
        <w:rPr>
          <w:lang w:val="uk-UA"/>
        </w:rPr>
        <w:t xml:space="preserve">і </w:t>
      </w:r>
      <w:r w:rsidR="00FC5583" w:rsidRPr="00FC5583">
        <w:rPr>
          <w:lang w:val="uk-UA"/>
        </w:rPr>
        <w:t xml:space="preserve">можливості відігравати активну роль у справі </w:t>
      </w:r>
      <w:r w:rsidR="00FC5583">
        <w:rPr>
          <w:lang w:val="uk-UA"/>
        </w:rPr>
        <w:t xml:space="preserve">створення і </w:t>
      </w:r>
      <w:r w:rsidR="00FC5583" w:rsidRPr="00FC5583">
        <w:rPr>
          <w:lang w:val="uk-UA"/>
        </w:rPr>
        <w:t xml:space="preserve">розвитку систем захисту </w:t>
      </w:r>
      <w:r w:rsidR="00FC5583">
        <w:rPr>
          <w:lang w:val="uk-UA"/>
        </w:rPr>
        <w:t xml:space="preserve">та брати участь в процесах </w:t>
      </w:r>
      <w:r w:rsidR="00FC5583" w:rsidRPr="00FC5583">
        <w:rPr>
          <w:lang w:val="uk-UA"/>
        </w:rPr>
        <w:t>прими</w:t>
      </w:r>
      <w:r w:rsidR="00FC5583">
        <w:rPr>
          <w:lang w:val="uk-UA"/>
        </w:rPr>
        <w:t xml:space="preserve">рення і </w:t>
      </w:r>
      <w:proofErr w:type="spellStart"/>
      <w:r w:rsidR="00FC5583">
        <w:rPr>
          <w:lang w:val="uk-UA"/>
        </w:rPr>
        <w:t>миробудівництва</w:t>
      </w:r>
      <w:proofErr w:type="spellEnd"/>
      <w:r w:rsidR="00FC5583">
        <w:rPr>
          <w:lang w:val="uk-UA"/>
        </w:rPr>
        <w:t>. І</w:t>
      </w:r>
      <w:r w:rsidR="00FC5583" w:rsidRPr="00FC5583">
        <w:rPr>
          <w:lang w:val="uk-UA"/>
        </w:rPr>
        <w:t xml:space="preserve">нвестиції </w:t>
      </w:r>
      <w:r w:rsidR="00FC5583">
        <w:rPr>
          <w:lang w:val="uk-UA"/>
        </w:rPr>
        <w:t xml:space="preserve">у </w:t>
      </w:r>
      <w:proofErr w:type="spellStart"/>
      <w:r w:rsidR="00FC5583">
        <w:rPr>
          <w:lang w:val="uk-UA"/>
        </w:rPr>
        <w:t>постконфліктне</w:t>
      </w:r>
      <w:proofErr w:type="spellEnd"/>
      <w:r w:rsidR="00FC5583">
        <w:rPr>
          <w:lang w:val="uk-UA"/>
        </w:rPr>
        <w:t xml:space="preserve"> та перехідне відновлення </w:t>
      </w:r>
      <w:r w:rsidR="00FC5583" w:rsidRPr="00FC5583">
        <w:rPr>
          <w:lang w:val="uk-UA"/>
        </w:rPr>
        <w:t xml:space="preserve">слід розглядати як можливість для підлітків </w:t>
      </w:r>
      <w:r w:rsidR="00FC5583">
        <w:rPr>
          <w:lang w:val="uk-UA"/>
        </w:rPr>
        <w:t xml:space="preserve">робити свій внесок в економічний та </w:t>
      </w:r>
      <w:r w:rsidR="00FC5583" w:rsidRPr="00FC5583">
        <w:rPr>
          <w:lang w:val="uk-UA"/>
        </w:rPr>
        <w:t>соціальний розвиток країни, у зміцнення її стабільності і перехід до мирного життя. Крім того, програми готовності до надзвичайних ситуацій повинні враховувати інтереси підлітків, визнаючи як їх</w:t>
      </w:r>
      <w:r w:rsidR="00FC5583">
        <w:rPr>
          <w:lang w:val="uk-UA"/>
        </w:rPr>
        <w:t>ню</w:t>
      </w:r>
      <w:r w:rsidR="00FC5583" w:rsidRPr="00FC5583">
        <w:rPr>
          <w:lang w:val="uk-UA"/>
        </w:rPr>
        <w:t xml:space="preserve"> вразливість, так і право на захист, а також їх</w:t>
      </w:r>
      <w:r w:rsidR="00FC5583">
        <w:rPr>
          <w:lang w:val="uk-UA"/>
        </w:rPr>
        <w:t>ню</w:t>
      </w:r>
      <w:r w:rsidR="00FC5583" w:rsidRPr="00FC5583">
        <w:rPr>
          <w:lang w:val="uk-UA"/>
        </w:rPr>
        <w:t xml:space="preserve"> потенційну роль </w:t>
      </w:r>
      <w:r w:rsidR="00FC5583">
        <w:rPr>
          <w:lang w:val="uk-UA"/>
        </w:rPr>
        <w:t xml:space="preserve">у підтримці </w:t>
      </w:r>
      <w:r w:rsidR="00FC5583" w:rsidRPr="00FC5583">
        <w:rPr>
          <w:lang w:val="uk-UA"/>
        </w:rPr>
        <w:t>громад і сприянн</w:t>
      </w:r>
      <w:r w:rsidR="00FC5583">
        <w:rPr>
          <w:lang w:val="uk-UA"/>
        </w:rPr>
        <w:t>і пом’</w:t>
      </w:r>
      <w:r w:rsidR="00FC5583" w:rsidRPr="00FC5583">
        <w:rPr>
          <w:lang w:val="uk-UA"/>
        </w:rPr>
        <w:t>якшенню ризиків</w:t>
      </w:r>
      <w:r w:rsidRPr="00D763C7">
        <w:rPr>
          <w:lang w:val="uk-UA"/>
        </w:rPr>
        <w:t>.</w:t>
      </w:r>
    </w:p>
    <w:p w:rsidR="00A007F8" w:rsidRPr="00D763C7" w:rsidRDefault="00A007F8" w:rsidP="0067613A">
      <w:pPr>
        <w:pStyle w:val="H23GR"/>
        <w:rPr>
          <w:lang w:val="uk-UA"/>
        </w:rPr>
      </w:pPr>
      <w:r w:rsidRPr="00D763C7">
        <w:rPr>
          <w:lang w:val="uk-UA"/>
        </w:rPr>
        <w:tab/>
      </w:r>
      <w:r w:rsidRPr="00D763C7">
        <w:rPr>
          <w:lang w:val="uk-UA"/>
        </w:rPr>
        <w:tab/>
        <w:t xml:space="preserve">Вербовка </w:t>
      </w:r>
      <w:r w:rsidR="00FC5583">
        <w:rPr>
          <w:lang w:val="uk-UA"/>
        </w:rPr>
        <w:t>у збройні сили та озброєні формування</w:t>
      </w:r>
    </w:p>
    <w:p w:rsidR="00A007F8" w:rsidRPr="00D763C7" w:rsidRDefault="00A007F8" w:rsidP="00A007F8">
      <w:pPr>
        <w:pStyle w:val="SingleTxtGR"/>
        <w:rPr>
          <w:lang w:val="uk-UA"/>
        </w:rPr>
      </w:pPr>
      <w:r w:rsidRPr="00D763C7">
        <w:rPr>
          <w:lang w:val="uk-UA"/>
        </w:rPr>
        <w:t>81.</w:t>
      </w:r>
      <w:r w:rsidRPr="00D763C7">
        <w:rPr>
          <w:lang w:val="uk-UA"/>
        </w:rPr>
        <w:tab/>
      </w:r>
      <w:r w:rsidR="00FC5583" w:rsidRPr="00FC5583">
        <w:rPr>
          <w:lang w:val="uk-UA"/>
        </w:rPr>
        <w:t>Комітет глибок</w:t>
      </w:r>
      <w:r w:rsidR="00FC5583">
        <w:rPr>
          <w:lang w:val="uk-UA"/>
        </w:rPr>
        <w:t>о занепокоєний тим фактом</w:t>
      </w:r>
      <w:r w:rsidR="00FC5583" w:rsidRPr="00FC5583">
        <w:rPr>
          <w:lang w:val="uk-UA"/>
        </w:rPr>
        <w:t>, що хлоп</w:t>
      </w:r>
      <w:r w:rsidR="00FC5583">
        <w:rPr>
          <w:lang w:val="uk-UA"/>
        </w:rPr>
        <w:t>ці та дівчата підліткового віку стають об’</w:t>
      </w:r>
      <w:r w:rsidR="00FC5583" w:rsidRPr="00FC5583">
        <w:rPr>
          <w:lang w:val="uk-UA"/>
        </w:rPr>
        <w:t>єкт</w:t>
      </w:r>
      <w:r w:rsidR="00FC5583">
        <w:rPr>
          <w:lang w:val="uk-UA"/>
        </w:rPr>
        <w:t>ами</w:t>
      </w:r>
      <w:r w:rsidR="00FC5583" w:rsidRPr="00FC5583">
        <w:rPr>
          <w:lang w:val="uk-UA"/>
        </w:rPr>
        <w:t xml:space="preserve"> вербування, в тому числі за допомогою соціальних мереж, </w:t>
      </w:r>
      <w:r w:rsidR="00FC5583">
        <w:rPr>
          <w:lang w:val="uk-UA"/>
        </w:rPr>
        <w:t>до лав збройних сил, озброєних формувань та загонів</w:t>
      </w:r>
      <w:r w:rsidR="00FC5583" w:rsidRPr="00FC5583">
        <w:rPr>
          <w:lang w:val="uk-UA"/>
        </w:rPr>
        <w:t xml:space="preserve"> ополчення, і закликає всі держави-учасни</w:t>
      </w:r>
      <w:r w:rsidR="00FC5583">
        <w:rPr>
          <w:lang w:val="uk-UA"/>
        </w:rPr>
        <w:t xml:space="preserve">ці </w:t>
      </w:r>
      <w:r w:rsidR="00FC5583" w:rsidRPr="00FC5583">
        <w:rPr>
          <w:lang w:val="uk-UA"/>
        </w:rPr>
        <w:t xml:space="preserve">ратифікувати Факультативний протокол до Конвенції про права дитини щодо участі дітей у збройних конфліктах. </w:t>
      </w:r>
      <w:r w:rsidR="00FC5583">
        <w:rPr>
          <w:lang w:val="uk-UA"/>
        </w:rPr>
        <w:t xml:space="preserve">Комітет </w:t>
      </w:r>
      <w:r w:rsidR="00FC5583" w:rsidRPr="00FC5583">
        <w:rPr>
          <w:lang w:val="uk-UA"/>
        </w:rPr>
        <w:t xml:space="preserve">також висловлює стурбованість з приводу уразливості підлітків </w:t>
      </w:r>
      <w:r w:rsidR="00FC5583">
        <w:rPr>
          <w:lang w:val="uk-UA"/>
        </w:rPr>
        <w:t xml:space="preserve">до </w:t>
      </w:r>
      <w:r w:rsidR="00FC5583" w:rsidRPr="00FC5583">
        <w:rPr>
          <w:lang w:val="uk-UA"/>
        </w:rPr>
        <w:t>впливу терористичної пропаганди і екстремістських поглядів</w:t>
      </w:r>
      <w:r w:rsidR="00FC5583">
        <w:rPr>
          <w:lang w:val="uk-UA"/>
        </w:rPr>
        <w:t>,</w:t>
      </w:r>
      <w:r w:rsidR="00FC5583" w:rsidRPr="00FC5583">
        <w:rPr>
          <w:lang w:val="uk-UA"/>
        </w:rPr>
        <w:t xml:space="preserve"> </w:t>
      </w:r>
      <w:r w:rsidR="00FC5583">
        <w:rPr>
          <w:lang w:val="uk-UA"/>
        </w:rPr>
        <w:t>а також їхнього втягнення у терористичну діяльність</w:t>
      </w:r>
      <w:r w:rsidR="00FC5583" w:rsidRPr="00FC5583">
        <w:rPr>
          <w:lang w:val="uk-UA"/>
        </w:rPr>
        <w:t xml:space="preserve">. Необхідно </w:t>
      </w:r>
      <w:r w:rsidR="00FC5583">
        <w:rPr>
          <w:lang w:val="uk-UA"/>
        </w:rPr>
        <w:t xml:space="preserve">спільно </w:t>
      </w:r>
      <w:r w:rsidR="00FC5583" w:rsidRPr="00FC5583">
        <w:rPr>
          <w:lang w:val="uk-UA"/>
        </w:rPr>
        <w:t xml:space="preserve">з підлітками </w:t>
      </w:r>
      <w:r w:rsidR="00FC5583" w:rsidRPr="00FC5583">
        <w:rPr>
          <w:lang w:val="uk-UA"/>
        </w:rPr>
        <w:t xml:space="preserve">проводити дослідження для вивчення </w:t>
      </w:r>
      <w:r w:rsidR="00FC5583">
        <w:rPr>
          <w:lang w:val="uk-UA"/>
        </w:rPr>
        <w:t>чинників</w:t>
      </w:r>
      <w:r w:rsidR="00FC5583" w:rsidRPr="00FC5583">
        <w:rPr>
          <w:lang w:val="uk-UA"/>
        </w:rPr>
        <w:t xml:space="preserve">, </w:t>
      </w:r>
      <w:r w:rsidR="00FC5583">
        <w:rPr>
          <w:lang w:val="uk-UA"/>
        </w:rPr>
        <w:t xml:space="preserve">що </w:t>
      </w:r>
      <w:r w:rsidR="00FC5583" w:rsidRPr="00FC5583">
        <w:rPr>
          <w:lang w:val="uk-UA"/>
        </w:rPr>
        <w:t>призводять до</w:t>
      </w:r>
      <w:r w:rsidR="00FC5583">
        <w:rPr>
          <w:lang w:val="uk-UA"/>
        </w:rPr>
        <w:t xml:space="preserve"> їхньої</w:t>
      </w:r>
      <w:r w:rsidR="00FC5583" w:rsidRPr="00FC5583">
        <w:rPr>
          <w:lang w:val="uk-UA"/>
        </w:rPr>
        <w:t xml:space="preserve"> участі в такій діяльності, а державам </w:t>
      </w:r>
      <w:r w:rsidR="00FC5583">
        <w:rPr>
          <w:lang w:val="uk-UA"/>
        </w:rPr>
        <w:t xml:space="preserve">на основі отриманих даних та </w:t>
      </w:r>
      <w:r w:rsidR="00FC5583" w:rsidRPr="00FC5583">
        <w:rPr>
          <w:lang w:val="uk-UA"/>
        </w:rPr>
        <w:t xml:space="preserve">висновків </w:t>
      </w:r>
      <w:r w:rsidR="00FC5583">
        <w:rPr>
          <w:lang w:val="uk-UA"/>
        </w:rPr>
        <w:t xml:space="preserve">слід вживати </w:t>
      </w:r>
      <w:r w:rsidR="00FC5583" w:rsidRPr="00FC5583">
        <w:rPr>
          <w:lang w:val="uk-UA"/>
        </w:rPr>
        <w:t>заходів</w:t>
      </w:r>
      <w:r w:rsidR="00FC5583">
        <w:rPr>
          <w:lang w:val="uk-UA"/>
        </w:rPr>
        <w:t xml:space="preserve"> у відповідь</w:t>
      </w:r>
      <w:r w:rsidR="00FC5583" w:rsidRPr="00FC5583">
        <w:rPr>
          <w:lang w:val="uk-UA"/>
        </w:rPr>
        <w:t xml:space="preserve">, приділяючи особливу увагу </w:t>
      </w:r>
      <w:r w:rsidR="00FC5583">
        <w:rPr>
          <w:lang w:val="uk-UA"/>
        </w:rPr>
        <w:t>зусиллям, що заохочують соціальну інтеграцію</w:t>
      </w:r>
      <w:r w:rsidRPr="00D763C7">
        <w:rPr>
          <w:lang w:val="uk-UA"/>
        </w:rPr>
        <w:t>.</w:t>
      </w:r>
    </w:p>
    <w:p w:rsidR="00AA7ED9" w:rsidRDefault="00A007F8" w:rsidP="00A007F8">
      <w:pPr>
        <w:pStyle w:val="SingleTxtGR"/>
        <w:rPr>
          <w:lang w:val="uk-UA"/>
        </w:rPr>
      </w:pPr>
      <w:r w:rsidRPr="00D763C7">
        <w:rPr>
          <w:lang w:val="uk-UA"/>
        </w:rPr>
        <w:t>82.</w:t>
      </w:r>
      <w:r w:rsidRPr="00D763C7">
        <w:rPr>
          <w:lang w:val="uk-UA"/>
        </w:rPr>
        <w:tab/>
      </w:r>
      <w:r w:rsidR="00AA7ED9" w:rsidRPr="00AA7ED9">
        <w:rPr>
          <w:lang w:val="uk-UA"/>
        </w:rPr>
        <w:t xml:space="preserve">Держави повинні забезпечувати відновлення </w:t>
      </w:r>
      <w:r w:rsidR="00AA7ED9" w:rsidRPr="00AA7ED9">
        <w:rPr>
          <w:lang w:val="uk-UA"/>
        </w:rPr>
        <w:t xml:space="preserve">підлітків, яких </w:t>
      </w:r>
      <w:r w:rsidR="00AA7ED9">
        <w:rPr>
          <w:lang w:val="uk-UA"/>
        </w:rPr>
        <w:t>було завербовано до лав збройних сил</w:t>
      </w:r>
      <w:r w:rsidR="00AA7ED9" w:rsidRPr="00AA7ED9">
        <w:rPr>
          <w:lang w:val="uk-UA"/>
        </w:rPr>
        <w:t xml:space="preserve"> і </w:t>
      </w:r>
      <w:r w:rsidR="00AA7ED9">
        <w:rPr>
          <w:lang w:val="uk-UA"/>
        </w:rPr>
        <w:t>угруповань</w:t>
      </w:r>
      <w:r w:rsidR="00AA7ED9" w:rsidRPr="00AA7ED9">
        <w:rPr>
          <w:lang w:val="uk-UA"/>
        </w:rPr>
        <w:t>, в тому числі тих, хто знаходиться в умовах міграції</w:t>
      </w:r>
      <w:r w:rsidR="00AA7ED9">
        <w:rPr>
          <w:lang w:val="uk-UA"/>
        </w:rPr>
        <w:t>, та їхню</w:t>
      </w:r>
      <w:r w:rsidR="00AA7ED9" w:rsidRPr="00AA7ED9">
        <w:rPr>
          <w:lang w:val="uk-UA"/>
        </w:rPr>
        <w:t xml:space="preserve"> реінтеграцію </w:t>
      </w:r>
      <w:r w:rsidR="00AA7ED9">
        <w:rPr>
          <w:lang w:val="uk-UA"/>
        </w:rPr>
        <w:t>з урахуванням ґендерних аспектів, а також</w:t>
      </w:r>
      <w:r w:rsidR="00AA7ED9" w:rsidRPr="00AA7ED9">
        <w:rPr>
          <w:lang w:val="uk-UA"/>
        </w:rPr>
        <w:t xml:space="preserve"> заборонити вербування або використання підлітків у всіх в</w:t>
      </w:r>
      <w:r w:rsidR="00AA7ED9">
        <w:rPr>
          <w:lang w:val="uk-UA"/>
        </w:rPr>
        <w:t>оєнних діях</w:t>
      </w:r>
      <w:r w:rsidR="00AA7ED9" w:rsidRPr="00AA7ED9">
        <w:rPr>
          <w:lang w:val="uk-UA"/>
        </w:rPr>
        <w:t xml:space="preserve"> </w:t>
      </w:r>
      <w:r w:rsidR="00AA7ED9">
        <w:rPr>
          <w:lang w:val="uk-UA"/>
        </w:rPr>
        <w:t xml:space="preserve">і у веденні </w:t>
      </w:r>
      <w:r w:rsidR="00AA7ED9" w:rsidRPr="00AA7ED9">
        <w:rPr>
          <w:lang w:val="uk-UA"/>
        </w:rPr>
        <w:t xml:space="preserve">переговорів про </w:t>
      </w:r>
      <w:r w:rsidR="00AA7ED9">
        <w:rPr>
          <w:lang w:val="uk-UA"/>
        </w:rPr>
        <w:t>перемир’</w:t>
      </w:r>
      <w:r w:rsidR="00AA7ED9" w:rsidRPr="00AA7ED9">
        <w:rPr>
          <w:lang w:val="uk-UA"/>
        </w:rPr>
        <w:t xml:space="preserve">я і припинення вогню </w:t>
      </w:r>
      <w:r w:rsidR="00AA7ED9" w:rsidRPr="00AA7ED9">
        <w:rPr>
          <w:lang w:val="uk-UA"/>
        </w:rPr>
        <w:t>з озброєними групами</w:t>
      </w:r>
      <w:r w:rsidR="00AA7ED9" w:rsidRPr="00D763C7">
        <w:rPr>
          <w:sz w:val="18"/>
          <w:vertAlign w:val="superscript"/>
          <w:lang w:val="uk-UA"/>
        </w:rPr>
        <w:footnoteReference w:id="39"/>
      </w:r>
      <w:r w:rsidR="00AA7ED9" w:rsidRPr="00AA7ED9">
        <w:rPr>
          <w:lang w:val="uk-UA"/>
        </w:rPr>
        <w:t xml:space="preserve">. </w:t>
      </w:r>
      <w:r w:rsidR="00AA7ED9">
        <w:rPr>
          <w:lang w:val="uk-UA"/>
        </w:rPr>
        <w:t>Натомість д</w:t>
      </w:r>
      <w:r w:rsidR="00AA7ED9" w:rsidRPr="00AA7ED9">
        <w:rPr>
          <w:lang w:val="uk-UA"/>
        </w:rPr>
        <w:t xml:space="preserve">ержави повинні </w:t>
      </w:r>
      <w:r w:rsidR="00AA7ED9">
        <w:rPr>
          <w:lang w:val="uk-UA"/>
        </w:rPr>
        <w:t>сприяти можливостям для</w:t>
      </w:r>
      <w:r w:rsidR="00AA7ED9" w:rsidRPr="00AA7ED9">
        <w:rPr>
          <w:lang w:val="uk-UA"/>
        </w:rPr>
        <w:t xml:space="preserve"> участі підліт</w:t>
      </w:r>
      <w:r w:rsidR="00AA7ED9">
        <w:rPr>
          <w:lang w:val="uk-UA"/>
        </w:rPr>
        <w:t xml:space="preserve">ків в рухах за мир і у </w:t>
      </w:r>
      <w:r w:rsidR="00AA7ED9" w:rsidRPr="00AA7ED9">
        <w:rPr>
          <w:lang w:val="uk-UA"/>
        </w:rPr>
        <w:t>підход</w:t>
      </w:r>
      <w:r w:rsidR="00AA7ED9">
        <w:rPr>
          <w:lang w:val="uk-UA"/>
        </w:rPr>
        <w:t>ах</w:t>
      </w:r>
      <w:r w:rsidR="00AA7ED9" w:rsidRPr="00AA7ED9">
        <w:rPr>
          <w:lang w:val="uk-UA"/>
        </w:rPr>
        <w:t xml:space="preserve"> </w:t>
      </w:r>
      <w:r w:rsidR="00AA7ED9">
        <w:rPr>
          <w:lang w:val="uk-UA"/>
        </w:rPr>
        <w:t xml:space="preserve">«рівний-рівному» </w:t>
      </w:r>
      <w:r w:rsidR="00AA7ED9" w:rsidRPr="00AA7ED9">
        <w:rPr>
          <w:lang w:val="uk-UA"/>
        </w:rPr>
        <w:t xml:space="preserve">до врегулювання конфліктів </w:t>
      </w:r>
      <w:r w:rsidR="00AA7ED9">
        <w:rPr>
          <w:lang w:val="uk-UA"/>
        </w:rPr>
        <w:t xml:space="preserve">за допомогою </w:t>
      </w:r>
      <w:r w:rsidR="00AA7ED9" w:rsidRPr="00AA7ED9">
        <w:rPr>
          <w:lang w:val="uk-UA"/>
        </w:rPr>
        <w:t>ненасильницьки</w:t>
      </w:r>
      <w:r w:rsidR="00AA7ED9">
        <w:rPr>
          <w:lang w:val="uk-UA"/>
        </w:rPr>
        <w:t xml:space="preserve">х методів, прийнятих у </w:t>
      </w:r>
      <w:r w:rsidR="00AA7ED9" w:rsidRPr="00AA7ED9">
        <w:rPr>
          <w:lang w:val="uk-UA"/>
        </w:rPr>
        <w:t>місцевих громадах, для забезпечення ст</w:t>
      </w:r>
      <w:r w:rsidR="00AA7ED9">
        <w:rPr>
          <w:lang w:val="uk-UA"/>
        </w:rPr>
        <w:t xml:space="preserve">алості й культурної </w:t>
      </w:r>
      <w:r w:rsidR="00AA7ED9" w:rsidRPr="00AA7ED9">
        <w:rPr>
          <w:lang w:val="uk-UA"/>
        </w:rPr>
        <w:t xml:space="preserve">відповідності </w:t>
      </w:r>
      <w:r w:rsidR="00AA7ED9">
        <w:rPr>
          <w:lang w:val="uk-UA"/>
        </w:rPr>
        <w:t>втручань</w:t>
      </w:r>
      <w:r w:rsidR="00AA7ED9" w:rsidRPr="00AA7ED9">
        <w:rPr>
          <w:lang w:val="uk-UA"/>
        </w:rPr>
        <w:t>. Комітет закликає держави-учасни</w:t>
      </w:r>
      <w:r w:rsidR="00AA7ED9">
        <w:rPr>
          <w:lang w:val="uk-UA"/>
        </w:rPr>
        <w:t xml:space="preserve">ці </w:t>
      </w:r>
      <w:r w:rsidR="00AA7ED9" w:rsidRPr="00AA7ED9">
        <w:rPr>
          <w:lang w:val="uk-UA"/>
        </w:rPr>
        <w:t>вжи</w:t>
      </w:r>
      <w:r w:rsidR="00AA7ED9">
        <w:rPr>
          <w:lang w:val="uk-UA"/>
        </w:rPr>
        <w:t>ва</w:t>
      </w:r>
      <w:r w:rsidR="00AA7ED9" w:rsidRPr="00AA7ED9">
        <w:rPr>
          <w:lang w:val="uk-UA"/>
        </w:rPr>
        <w:t xml:space="preserve">ти рішучих заходів для </w:t>
      </w:r>
      <w:r w:rsidR="00AA7ED9">
        <w:rPr>
          <w:lang w:val="uk-UA"/>
        </w:rPr>
        <w:t>того, щоб будь-які пов’</w:t>
      </w:r>
      <w:r w:rsidR="00AA7ED9" w:rsidRPr="00AA7ED9">
        <w:rPr>
          <w:lang w:val="uk-UA"/>
        </w:rPr>
        <w:t>язані з конфліктом випадки сексуального насильства, сексуальної експлуатації та наруги</w:t>
      </w:r>
      <w:r w:rsidR="00AA7ED9">
        <w:rPr>
          <w:lang w:val="uk-UA"/>
        </w:rPr>
        <w:t xml:space="preserve">, а також </w:t>
      </w:r>
      <w:r w:rsidR="00AA7ED9" w:rsidRPr="00AA7ED9">
        <w:rPr>
          <w:lang w:val="uk-UA"/>
        </w:rPr>
        <w:t>інш</w:t>
      </w:r>
      <w:r w:rsidR="00AA7ED9">
        <w:rPr>
          <w:lang w:val="uk-UA"/>
        </w:rPr>
        <w:t xml:space="preserve">і </w:t>
      </w:r>
      <w:r w:rsidR="00AA7ED9" w:rsidRPr="00AA7ED9">
        <w:rPr>
          <w:lang w:val="uk-UA"/>
        </w:rPr>
        <w:t>порушен</w:t>
      </w:r>
      <w:r w:rsidR="00AA7ED9">
        <w:rPr>
          <w:lang w:val="uk-UA"/>
        </w:rPr>
        <w:t xml:space="preserve">ня прав людини стосовно </w:t>
      </w:r>
      <w:r w:rsidR="00AA7ED9" w:rsidRPr="00AA7ED9">
        <w:rPr>
          <w:lang w:val="uk-UA"/>
        </w:rPr>
        <w:t>підлітків розглядалися належним чином</w:t>
      </w:r>
      <w:r w:rsidR="00AA7ED9">
        <w:rPr>
          <w:lang w:val="uk-UA"/>
        </w:rPr>
        <w:t xml:space="preserve"> і максимально </w:t>
      </w:r>
      <w:proofErr w:type="spellStart"/>
      <w:r w:rsidR="00AA7ED9">
        <w:rPr>
          <w:lang w:val="uk-UA"/>
        </w:rPr>
        <w:t>оперативно</w:t>
      </w:r>
      <w:proofErr w:type="spellEnd"/>
      <w:r w:rsidR="00AA7ED9">
        <w:rPr>
          <w:lang w:val="uk-UA"/>
        </w:rPr>
        <w:t xml:space="preserve">. </w:t>
      </w:r>
    </w:p>
    <w:p w:rsidR="00A007F8" w:rsidRPr="00D763C7" w:rsidRDefault="00A007F8" w:rsidP="00AA7ED9">
      <w:pPr>
        <w:pStyle w:val="SingleTxtGR"/>
        <w:rPr>
          <w:lang w:val="uk-UA"/>
        </w:rPr>
      </w:pPr>
      <w:r w:rsidRPr="00D763C7">
        <w:rPr>
          <w:lang w:val="uk-UA"/>
        </w:rPr>
        <w:t>83.</w:t>
      </w:r>
      <w:r w:rsidRPr="00D763C7">
        <w:rPr>
          <w:lang w:val="uk-UA"/>
        </w:rPr>
        <w:tab/>
      </w:r>
      <w:r w:rsidR="00AA7ED9" w:rsidRPr="00AA7ED9">
        <w:rPr>
          <w:lang w:val="uk-UA"/>
        </w:rPr>
        <w:t xml:space="preserve">Комітет визнає, що в багатьох частинах світу підлітків </w:t>
      </w:r>
      <w:r w:rsidR="00AA7ED9">
        <w:rPr>
          <w:lang w:val="uk-UA"/>
        </w:rPr>
        <w:t xml:space="preserve">втягують у </w:t>
      </w:r>
      <w:r w:rsidR="00AA7ED9" w:rsidRPr="00AA7ED9">
        <w:rPr>
          <w:lang w:val="uk-UA"/>
        </w:rPr>
        <w:t xml:space="preserve">банди і </w:t>
      </w:r>
      <w:r w:rsidR="00AA7ED9">
        <w:rPr>
          <w:lang w:val="uk-UA"/>
        </w:rPr>
        <w:t>шайки</w:t>
      </w:r>
      <w:r w:rsidR="00AA7ED9" w:rsidRPr="00AA7ED9">
        <w:rPr>
          <w:lang w:val="uk-UA"/>
        </w:rPr>
        <w:t xml:space="preserve">, які </w:t>
      </w:r>
      <w:r w:rsidR="00AA7ED9">
        <w:rPr>
          <w:lang w:val="uk-UA"/>
        </w:rPr>
        <w:t xml:space="preserve">за відсутності можливостей досягати цілей законним шляхом нерідко надають підліткам </w:t>
      </w:r>
      <w:r w:rsidR="00AA7ED9" w:rsidRPr="00AA7ED9">
        <w:rPr>
          <w:lang w:val="uk-UA"/>
        </w:rPr>
        <w:t xml:space="preserve">соціальну підтримку, джерело засобів до існування, захист і </w:t>
      </w:r>
      <w:r w:rsidR="00AA7ED9">
        <w:rPr>
          <w:lang w:val="uk-UA"/>
        </w:rPr>
        <w:t>відчуття власної ідентичності</w:t>
      </w:r>
      <w:r w:rsidR="00AA7ED9" w:rsidRPr="00AA7ED9">
        <w:rPr>
          <w:lang w:val="uk-UA"/>
        </w:rPr>
        <w:t xml:space="preserve">. </w:t>
      </w:r>
      <w:r w:rsidR="00AA7ED9">
        <w:rPr>
          <w:lang w:val="uk-UA"/>
        </w:rPr>
        <w:t xml:space="preserve">Водночас </w:t>
      </w:r>
      <w:r w:rsidR="00AA7ED9" w:rsidRPr="00AA7ED9">
        <w:rPr>
          <w:lang w:val="uk-UA"/>
        </w:rPr>
        <w:t>атмосфера страху,</w:t>
      </w:r>
      <w:r w:rsidR="00AA7ED9">
        <w:rPr>
          <w:lang w:val="uk-UA"/>
        </w:rPr>
        <w:t xml:space="preserve"> відсутності </w:t>
      </w:r>
      <w:r w:rsidR="00AA7ED9">
        <w:rPr>
          <w:lang w:val="uk-UA"/>
        </w:rPr>
        <w:lastRenderedPageBreak/>
        <w:t>безпеки</w:t>
      </w:r>
      <w:r w:rsidR="00AA7ED9" w:rsidRPr="00AA7ED9">
        <w:rPr>
          <w:lang w:val="uk-UA"/>
        </w:rPr>
        <w:t xml:space="preserve">, погроз і насильства, </w:t>
      </w:r>
      <w:r w:rsidR="00AA7ED9">
        <w:rPr>
          <w:lang w:val="uk-UA"/>
        </w:rPr>
        <w:t>пов’язана з членством у банді</w:t>
      </w:r>
      <w:r w:rsidR="00AA7ED9" w:rsidRPr="00AA7ED9">
        <w:rPr>
          <w:lang w:val="uk-UA"/>
        </w:rPr>
        <w:t xml:space="preserve">, загрожує </w:t>
      </w:r>
      <w:r w:rsidR="00AA7ED9">
        <w:rPr>
          <w:lang w:val="uk-UA"/>
        </w:rPr>
        <w:t xml:space="preserve">реалізації </w:t>
      </w:r>
      <w:r w:rsidR="00AA7ED9" w:rsidRPr="00AA7ED9">
        <w:rPr>
          <w:lang w:val="uk-UA"/>
        </w:rPr>
        <w:t>прав підлітків і є одн</w:t>
      </w:r>
      <w:r w:rsidR="00AA7ED9">
        <w:rPr>
          <w:lang w:val="uk-UA"/>
        </w:rPr>
        <w:t xml:space="preserve">ією з основних причин </w:t>
      </w:r>
      <w:r w:rsidR="00AA7ED9" w:rsidRPr="00AA7ED9">
        <w:rPr>
          <w:lang w:val="uk-UA"/>
        </w:rPr>
        <w:t xml:space="preserve">міграції підлітків. Комітет рекомендує приділяти більше уваги </w:t>
      </w:r>
      <w:r w:rsidR="00AA7ED9">
        <w:rPr>
          <w:lang w:val="uk-UA"/>
        </w:rPr>
        <w:t xml:space="preserve">створенню </w:t>
      </w:r>
      <w:r w:rsidR="00AA7ED9" w:rsidRPr="00AA7ED9">
        <w:rPr>
          <w:lang w:val="uk-UA"/>
        </w:rPr>
        <w:t xml:space="preserve">комплексної державної політики, спрямованої на усунення </w:t>
      </w:r>
      <w:r w:rsidR="00AA7ED9">
        <w:rPr>
          <w:lang w:val="uk-UA"/>
        </w:rPr>
        <w:t xml:space="preserve">першопричин молодіжного </w:t>
      </w:r>
      <w:r w:rsidR="00AA7ED9" w:rsidRPr="00AA7ED9">
        <w:rPr>
          <w:lang w:val="uk-UA"/>
        </w:rPr>
        <w:t xml:space="preserve">насильства та виникнення банд замість використання жорстких правоохоронних </w:t>
      </w:r>
      <w:r w:rsidR="00AA7ED9">
        <w:rPr>
          <w:lang w:val="uk-UA"/>
        </w:rPr>
        <w:t>підходів</w:t>
      </w:r>
      <w:r w:rsidR="00AA7ED9" w:rsidRPr="00AA7ED9">
        <w:rPr>
          <w:lang w:val="uk-UA"/>
        </w:rPr>
        <w:t xml:space="preserve">. </w:t>
      </w:r>
      <w:r w:rsidR="00AA7ED9">
        <w:rPr>
          <w:lang w:val="uk-UA"/>
        </w:rPr>
        <w:t xml:space="preserve">Також потрібно підтримувати </w:t>
      </w:r>
      <w:r w:rsidR="00AA7ED9" w:rsidRPr="00AA7ED9">
        <w:rPr>
          <w:lang w:val="uk-UA"/>
        </w:rPr>
        <w:t>профілактичн</w:t>
      </w:r>
      <w:r w:rsidR="00AA7ED9">
        <w:rPr>
          <w:lang w:val="uk-UA"/>
        </w:rPr>
        <w:t xml:space="preserve">і заходи </w:t>
      </w:r>
      <w:r w:rsidR="00AA7ED9" w:rsidRPr="00AA7ED9">
        <w:rPr>
          <w:lang w:val="uk-UA"/>
        </w:rPr>
        <w:t>серед підлітків</w:t>
      </w:r>
      <w:r w:rsidR="00AA7ED9">
        <w:rPr>
          <w:lang w:val="uk-UA"/>
        </w:rPr>
        <w:t xml:space="preserve"> з груп ризику; здійснювати втручання для мотивування </w:t>
      </w:r>
      <w:r w:rsidR="00AA7ED9" w:rsidRPr="00AA7ED9">
        <w:rPr>
          <w:lang w:val="uk-UA"/>
        </w:rPr>
        <w:t xml:space="preserve">підлітків </w:t>
      </w:r>
      <w:r w:rsidR="00AA7ED9">
        <w:rPr>
          <w:lang w:val="uk-UA"/>
        </w:rPr>
        <w:t xml:space="preserve">залишати </w:t>
      </w:r>
      <w:r w:rsidR="00AA7ED9" w:rsidRPr="00AA7ED9">
        <w:rPr>
          <w:lang w:val="uk-UA"/>
        </w:rPr>
        <w:t xml:space="preserve">банди, </w:t>
      </w:r>
      <w:r w:rsidR="00AA7ED9">
        <w:rPr>
          <w:lang w:val="uk-UA"/>
        </w:rPr>
        <w:t xml:space="preserve">а також для </w:t>
      </w:r>
      <w:r w:rsidR="00AA7ED9" w:rsidRPr="00AA7ED9">
        <w:rPr>
          <w:lang w:val="uk-UA"/>
        </w:rPr>
        <w:t xml:space="preserve">реабілітації та реінтеграції </w:t>
      </w:r>
      <w:r w:rsidR="00AA7ED9">
        <w:rPr>
          <w:lang w:val="uk-UA"/>
        </w:rPr>
        <w:t xml:space="preserve">їхніх </w:t>
      </w:r>
      <w:r w:rsidR="00AA7ED9" w:rsidRPr="00AA7ED9">
        <w:rPr>
          <w:lang w:val="uk-UA"/>
        </w:rPr>
        <w:t>членів</w:t>
      </w:r>
      <w:r w:rsidR="00AA7ED9">
        <w:rPr>
          <w:lang w:val="uk-UA"/>
        </w:rPr>
        <w:t xml:space="preserve">; налагоджувати </w:t>
      </w:r>
      <w:r w:rsidR="00AA7ED9" w:rsidRPr="00AA7ED9">
        <w:rPr>
          <w:lang w:val="uk-UA"/>
        </w:rPr>
        <w:t>систем</w:t>
      </w:r>
      <w:r w:rsidR="00AA7ED9">
        <w:rPr>
          <w:lang w:val="uk-UA"/>
        </w:rPr>
        <w:t>и</w:t>
      </w:r>
      <w:r w:rsidR="00AA7ED9" w:rsidRPr="00AA7ED9">
        <w:rPr>
          <w:lang w:val="uk-UA"/>
        </w:rPr>
        <w:t xml:space="preserve"> відновного правосуддя та створ</w:t>
      </w:r>
      <w:r w:rsidR="00AA7ED9">
        <w:rPr>
          <w:lang w:val="uk-UA"/>
        </w:rPr>
        <w:t>ювати м</w:t>
      </w:r>
      <w:r w:rsidR="00AA7ED9" w:rsidRPr="00AA7ED9">
        <w:rPr>
          <w:lang w:val="uk-UA"/>
        </w:rPr>
        <w:t>уніципальн</w:t>
      </w:r>
      <w:r w:rsidR="00AA7ED9">
        <w:rPr>
          <w:lang w:val="uk-UA"/>
        </w:rPr>
        <w:t>і об’</w:t>
      </w:r>
      <w:r w:rsidR="00AA7ED9" w:rsidRPr="00AA7ED9">
        <w:rPr>
          <w:lang w:val="uk-UA"/>
        </w:rPr>
        <w:t xml:space="preserve">єднань </w:t>
      </w:r>
      <w:r w:rsidR="00AA7ED9">
        <w:rPr>
          <w:lang w:val="uk-UA"/>
        </w:rPr>
        <w:t>для боротьби</w:t>
      </w:r>
      <w:r w:rsidR="00AA7ED9" w:rsidRPr="00AA7ED9">
        <w:rPr>
          <w:lang w:val="uk-UA"/>
        </w:rPr>
        <w:t xml:space="preserve"> зі злочинністю та насильством</w:t>
      </w:r>
      <w:r w:rsidR="00AA7ED9">
        <w:rPr>
          <w:lang w:val="uk-UA"/>
        </w:rPr>
        <w:t xml:space="preserve"> з особливим наголосом на школу, сім’ю та засоби соціального включення</w:t>
      </w:r>
      <w:r w:rsidR="00AA7ED9" w:rsidRPr="00AA7ED9">
        <w:rPr>
          <w:lang w:val="uk-UA"/>
        </w:rPr>
        <w:t xml:space="preserve">. Комітет закликає держави </w:t>
      </w:r>
      <w:r w:rsidR="00AA7ED9">
        <w:rPr>
          <w:lang w:val="uk-UA"/>
        </w:rPr>
        <w:t>звернути особливу увагу на підлітків</w:t>
      </w:r>
      <w:r w:rsidR="00AA7ED9" w:rsidRPr="00AA7ED9">
        <w:rPr>
          <w:lang w:val="uk-UA"/>
        </w:rPr>
        <w:t>, змушен</w:t>
      </w:r>
      <w:r w:rsidR="00AA7ED9">
        <w:rPr>
          <w:lang w:val="uk-UA"/>
        </w:rPr>
        <w:t xml:space="preserve">их </w:t>
      </w:r>
      <w:r w:rsidR="00AA7ED9" w:rsidRPr="00AA7ED9">
        <w:rPr>
          <w:lang w:val="uk-UA"/>
        </w:rPr>
        <w:t xml:space="preserve">залишити </w:t>
      </w:r>
      <w:r w:rsidR="00AA7ED9">
        <w:rPr>
          <w:lang w:val="uk-UA"/>
        </w:rPr>
        <w:t>свою країну з причин, пов’</w:t>
      </w:r>
      <w:r w:rsidR="00AA7ED9" w:rsidRPr="00AA7ED9">
        <w:rPr>
          <w:lang w:val="uk-UA"/>
        </w:rPr>
        <w:t>язаних з бандитизмом, і надавати їм статус біженців</w:t>
      </w:r>
      <w:r w:rsidRPr="00D763C7">
        <w:rPr>
          <w:lang w:val="uk-UA"/>
        </w:rPr>
        <w:t xml:space="preserve">. </w:t>
      </w:r>
    </w:p>
    <w:p w:rsidR="00A007F8" w:rsidRPr="00AA7ED9" w:rsidRDefault="00A007F8" w:rsidP="0067613A">
      <w:pPr>
        <w:pStyle w:val="H23GR"/>
        <w:rPr>
          <w:lang w:val="uk-UA"/>
        </w:rPr>
      </w:pPr>
      <w:r w:rsidRPr="00A007F8">
        <w:tab/>
      </w:r>
      <w:r w:rsidRPr="00A007F8">
        <w:tab/>
      </w:r>
      <w:r w:rsidRPr="00AA7ED9">
        <w:rPr>
          <w:lang w:val="uk-UA"/>
        </w:rPr>
        <w:t>Д</w:t>
      </w:r>
      <w:r w:rsidR="00AA7ED9">
        <w:rPr>
          <w:lang w:val="uk-UA"/>
        </w:rPr>
        <w:t>итяча праця</w:t>
      </w:r>
    </w:p>
    <w:p w:rsidR="00AA7ED9" w:rsidRDefault="00A007F8" w:rsidP="00A007F8">
      <w:pPr>
        <w:pStyle w:val="SingleTxtGR"/>
        <w:rPr>
          <w:lang w:val="uk-UA"/>
        </w:rPr>
      </w:pPr>
      <w:r w:rsidRPr="00AA7ED9">
        <w:rPr>
          <w:lang w:val="uk-UA"/>
        </w:rPr>
        <w:t>84.</w:t>
      </w:r>
      <w:r w:rsidRPr="00AA7ED9">
        <w:rPr>
          <w:lang w:val="uk-UA"/>
        </w:rPr>
        <w:tab/>
      </w:r>
      <w:r w:rsidR="00AA7ED9" w:rsidRPr="00AA7ED9">
        <w:rPr>
          <w:lang w:val="uk-UA"/>
        </w:rPr>
        <w:t xml:space="preserve">Комітет </w:t>
      </w:r>
      <w:r w:rsidR="00AA7ED9">
        <w:rPr>
          <w:lang w:val="uk-UA"/>
        </w:rPr>
        <w:t>наголошує</w:t>
      </w:r>
      <w:r w:rsidR="00AA7ED9" w:rsidRPr="00AA7ED9">
        <w:rPr>
          <w:lang w:val="uk-UA"/>
        </w:rPr>
        <w:t xml:space="preserve">, що всі підлітки мають право на захист від економічної експлуатації та найгірших форм дитячої праці, і закликає держави </w:t>
      </w:r>
      <w:r w:rsidR="00AA7ED9">
        <w:rPr>
          <w:lang w:val="uk-UA"/>
        </w:rPr>
        <w:t>впроваджувати положення пункту 2 С</w:t>
      </w:r>
      <w:r w:rsidR="00AA7ED9" w:rsidRPr="00AA7ED9">
        <w:rPr>
          <w:lang w:val="uk-UA"/>
        </w:rPr>
        <w:t>татті 32 Конвенції, а також прийнятих Міжнародною організацією п</w:t>
      </w:r>
      <w:r w:rsidR="00AA7ED9">
        <w:rPr>
          <w:lang w:val="uk-UA"/>
        </w:rPr>
        <w:t>раці Конвенції №</w:t>
      </w:r>
      <w:r w:rsidR="00AA7ED9" w:rsidRPr="00AA7ED9">
        <w:rPr>
          <w:lang w:val="uk-UA"/>
        </w:rPr>
        <w:t>138 про мінімальний вік для прийому на</w:t>
      </w:r>
      <w:r w:rsidR="00AA7ED9">
        <w:rPr>
          <w:lang w:val="uk-UA"/>
        </w:rPr>
        <w:t xml:space="preserve"> роботу 1973 року і Конвенції №</w:t>
      </w:r>
      <w:r w:rsidR="00AA7ED9" w:rsidRPr="00AA7ED9">
        <w:rPr>
          <w:lang w:val="uk-UA"/>
        </w:rPr>
        <w:t>182 про найгірші форми дитячої праці 1999 року</w:t>
      </w:r>
      <w:r w:rsidR="00AA7ED9">
        <w:rPr>
          <w:lang w:val="uk-UA"/>
        </w:rPr>
        <w:t>.</w:t>
      </w:r>
    </w:p>
    <w:p w:rsidR="00AA7ED9" w:rsidRDefault="00A007F8" w:rsidP="00A007F8">
      <w:pPr>
        <w:pStyle w:val="SingleTxtGR"/>
        <w:rPr>
          <w:lang w:val="uk-UA"/>
        </w:rPr>
      </w:pPr>
      <w:r w:rsidRPr="00AA7ED9">
        <w:rPr>
          <w:lang w:val="uk-UA"/>
        </w:rPr>
        <w:t>85.</w:t>
      </w:r>
      <w:r w:rsidRPr="00AA7ED9">
        <w:rPr>
          <w:lang w:val="uk-UA"/>
        </w:rPr>
        <w:tab/>
      </w:r>
      <w:r w:rsidR="00AA7ED9">
        <w:rPr>
          <w:lang w:val="uk-UA"/>
        </w:rPr>
        <w:t xml:space="preserve">Запровадження форм праці, що відповідають віку, </w:t>
      </w:r>
      <w:r w:rsidR="00AA7ED9" w:rsidRPr="00AA7ED9">
        <w:rPr>
          <w:lang w:val="uk-UA"/>
        </w:rPr>
        <w:t xml:space="preserve">відіграє важливу роль для розвитку підлітків, </w:t>
      </w:r>
      <w:r w:rsidR="00AA7ED9">
        <w:rPr>
          <w:lang w:val="uk-UA"/>
        </w:rPr>
        <w:t>озброює їх необхідними</w:t>
      </w:r>
      <w:r w:rsidR="00AA7ED9" w:rsidRPr="00AA7ED9">
        <w:rPr>
          <w:lang w:val="uk-UA"/>
        </w:rPr>
        <w:t xml:space="preserve"> навичк</w:t>
      </w:r>
      <w:r w:rsidR="00AA7ED9">
        <w:rPr>
          <w:lang w:val="uk-UA"/>
        </w:rPr>
        <w:t>ами,</w:t>
      </w:r>
      <w:r w:rsidR="00AA7ED9" w:rsidRPr="00AA7ED9">
        <w:rPr>
          <w:lang w:val="uk-UA"/>
        </w:rPr>
        <w:t xml:space="preserve"> дає їм можливість </w:t>
      </w:r>
      <w:r w:rsidR="00AA7ED9">
        <w:rPr>
          <w:lang w:val="uk-UA"/>
        </w:rPr>
        <w:t>навчитися виконувати певні обов’</w:t>
      </w:r>
      <w:r w:rsidR="00AA7ED9" w:rsidRPr="00AA7ED9">
        <w:rPr>
          <w:lang w:val="uk-UA"/>
        </w:rPr>
        <w:t>язки і</w:t>
      </w:r>
      <w:r w:rsidR="00AA7ED9">
        <w:rPr>
          <w:lang w:val="uk-UA"/>
        </w:rPr>
        <w:t xml:space="preserve"> за необхідності – робити внесок </w:t>
      </w:r>
      <w:r w:rsidR="00AA7ED9" w:rsidRPr="00AA7ED9">
        <w:rPr>
          <w:lang w:val="uk-UA"/>
        </w:rPr>
        <w:t>в економічний добробут сво</w:t>
      </w:r>
      <w:r w:rsidR="00AA7ED9">
        <w:rPr>
          <w:lang w:val="uk-UA"/>
        </w:rPr>
        <w:t>єї сім’ї чи забезпечувати доступ</w:t>
      </w:r>
      <w:r w:rsidR="00AA7ED9" w:rsidRPr="00AA7ED9">
        <w:rPr>
          <w:lang w:val="uk-UA"/>
        </w:rPr>
        <w:t xml:space="preserve"> до освіти. </w:t>
      </w:r>
      <w:r w:rsidR="00AA7ED9">
        <w:rPr>
          <w:lang w:val="uk-UA"/>
        </w:rPr>
        <w:t xml:space="preserve">Протидія дитячій праці </w:t>
      </w:r>
      <w:r w:rsidR="00AA7ED9" w:rsidRPr="00AA7ED9">
        <w:rPr>
          <w:lang w:val="uk-UA"/>
        </w:rPr>
        <w:t>повинн</w:t>
      </w:r>
      <w:r w:rsidR="00AA7ED9">
        <w:rPr>
          <w:lang w:val="uk-UA"/>
        </w:rPr>
        <w:t xml:space="preserve">а </w:t>
      </w:r>
      <w:r w:rsidR="00AA7ED9" w:rsidRPr="00AA7ED9">
        <w:rPr>
          <w:lang w:val="uk-UA"/>
        </w:rPr>
        <w:t xml:space="preserve">включати </w:t>
      </w:r>
      <w:r w:rsidR="00AA7ED9">
        <w:rPr>
          <w:lang w:val="uk-UA"/>
        </w:rPr>
        <w:t xml:space="preserve">комплексні </w:t>
      </w:r>
      <w:r w:rsidR="00AA7ED9" w:rsidRPr="00AA7ED9">
        <w:rPr>
          <w:lang w:val="uk-UA"/>
        </w:rPr>
        <w:t>заходи, в тому числі перех</w:t>
      </w:r>
      <w:r w:rsidR="00AA7ED9">
        <w:rPr>
          <w:lang w:val="uk-UA"/>
        </w:rPr>
        <w:t>ід від шкільного</w:t>
      </w:r>
      <w:r w:rsidR="00AA7ED9" w:rsidRPr="00AA7ED9">
        <w:rPr>
          <w:lang w:val="uk-UA"/>
        </w:rPr>
        <w:t xml:space="preserve"> до трудового життя, соціально-економічний розвиток, програми подолання бідності</w:t>
      </w:r>
      <w:r w:rsidR="00AA7ED9">
        <w:rPr>
          <w:lang w:val="uk-UA"/>
        </w:rPr>
        <w:t xml:space="preserve">, а також </w:t>
      </w:r>
      <w:r w:rsidR="00AA7ED9" w:rsidRPr="00AA7ED9">
        <w:rPr>
          <w:lang w:val="uk-UA"/>
        </w:rPr>
        <w:t xml:space="preserve">загальний і безкоштовний доступ до якісної, інклюзивної початкового і середньої освіти. </w:t>
      </w:r>
      <w:r w:rsidR="00AA7ED9">
        <w:rPr>
          <w:lang w:val="uk-UA"/>
        </w:rPr>
        <w:t>Тут с</w:t>
      </w:r>
      <w:r w:rsidR="00AA7ED9" w:rsidRPr="00AA7ED9">
        <w:rPr>
          <w:lang w:val="uk-UA"/>
        </w:rPr>
        <w:t xml:space="preserve">лід </w:t>
      </w:r>
      <w:r w:rsidR="00AA7ED9">
        <w:rPr>
          <w:lang w:val="uk-UA"/>
        </w:rPr>
        <w:t>додати</w:t>
      </w:r>
      <w:r w:rsidR="00AA7ED9" w:rsidRPr="00AA7ED9">
        <w:rPr>
          <w:lang w:val="uk-UA"/>
        </w:rPr>
        <w:t>, що після досягнення встановленого в національному законодавстві м</w:t>
      </w:r>
      <w:r w:rsidR="00AA7ED9">
        <w:rPr>
          <w:lang w:val="uk-UA"/>
        </w:rPr>
        <w:t>інімального трудового віку, що</w:t>
      </w:r>
      <w:r w:rsidR="00AA7ED9" w:rsidRPr="00AA7ED9">
        <w:rPr>
          <w:lang w:val="uk-UA"/>
        </w:rPr>
        <w:t xml:space="preserve"> </w:t>
      </w:r>
      <w:r w:rsidR="00AA7ED9">
        <w:rPr>
          <w:lang w:val="uk-UA"/>
        </w:rPr>
        <w:t xml:space="preserve">між іншим має </w:t>
      </w:r>
      <w:r w:rsidR="00AA7ED9" w:rsidRPr="00AA7ED9">
        <w:rPr>
          <w:lang w:val="uk-UA"/>
        </w:rPr>
        <w:t>б</w:t>
      </w:r>
      <w:r w:rsidR="00AA7ED9">
        <w:rPr>
          <w:lang w:val="uk-UA"/>
        </w:rPr>
        <w:t>ути приведений у відповідність до міжнародних</w:t>
      </w:r>
      <w:r w:rsidR="00AA7ED9" w:rsidRPr="00AA7ED9">
        <w:rPr>
          <w:lang w:val="uk-UA"/>
        </w:rPr>
        <w:t xml:space="preserve"> стандарт</w:t>
      </w:r>
      <w:r w:rsidR="00AA7ED9">
        <w:rPr>
          <w:lang w:val="uk-UA"/>
        </w:rPr>
        <w:t>ів і вимог стосовно обов’</w:t>
      </w:r>
      <w:r w:rsidR="00AA7ED9" w:rsidRPr="00AA7ED9">
        <w:rPr>
          <w:lang w:val="uk-UA"/>
        </w:rPr>
        <w:t xml:space="preserve">язкової освіти, підлітки мають право на виконання легких робіт в належних умовах, </w:t>
      </w:r>
      <w:r w:rsidR="00AA7ED9">
        <w:rPr>
          <w:lang w:val="uk-UA"/>
        </w:rPr>
        <w:t xml:space="preserve">причому з повагою до їхнього права </w:t>
      </w:r>
      <w:r w:rsidR="00AA7ED9" w:rsidRPr="00AA7ED9">
        <w:rPr>
          <w:lang w:val="uk-UA"/>
        </w:rPr>
        <w:t>на освіту</w:t>
      </w:r>
      <w:r w:rsidR="00AA7ED9">
        <w:rPr>
          <w:lang w:val="uk-UA"/>
        </w:rPr>
        <w:t>,</w:t>
      </w:r>
      <w:r w:rsidR="00AA7ED9" w:rsidRPr="00AA7ED9">
        <w:rPr>
          <w:lang w:val="uk-UA"/>
        </w:rPr>
        <w:t xml:space="preserve"> </w:t>
      </w:r>
      <w:r w:rsidR="00AA7ED9">
        <w:rPr>
          <w:lang w:val="uk-UA"/>
        </w:rPr>
        <w:t>на відпочинок і дозвілля, права брати участь в іграх, розважальних заходах і культурному житті, та права займатися творчістю.</w:t>
      </w:r>
    </w:p>
    <w:p w:rsidR="00AA7ED9" w:rsidRDefault="00A007F8" w:rsidP="00A007F8">
      <w:pPr>
        <w:pStyle w:val="SingleTxtGR"/>
        <w:rPr>
          <w:lang w:val="uk-UA"/>
        </w:rPr>
      </w:pPr>
      <w:r w:rsidRPr="00AA7ED9">
        <w:rPr>
          <w:lang w:val="uk-UA"/>
        </w:rPr>
        <w:t>86.</w:t>
      </w:r>
      <w:r w:rsidRPr="00AA7ED9">
        <w:rPr>
          <w:lang w:val="uk-UA"/>
        </w:rPr>
        <w:tab/>
      </w:r>
      <w:r w:rsidR="00AA7ED9" w:rsidRPr="00AA7ED9">
        <w:rPr>
          <w:lang w:val="uk-UA"/>
        </w:rPr>
        <w:t xml:space="preserve">Комітет рекомендує державам обрати </w:t>
      </w:r>
      <w:r w:rsidR="00AA7ED9">
        <w:rPr>
          <w:lang w:val="uk-UA"/>
        </w:rPr>
        <w:t xml:space="preserve">проміжний </w:t>
      </w:r>
      <w:r w:rsidR="00AA7ED9" w:rsidRPr="00AA7ED9">
        <w:rPr>
          <w:lang w:val="uk-UA"/>
        </w:rPr>
        <w:t xml:space="preserve">підхід до </w:t>
      </w:r>
      <w:r w:rsidR="00AA7ED9">
        <w:rPr>
          <w:lang w:val="uk-UA"/>
        </w:rPr>
        <w:t xml:space="preserve">питання </w:t>
      </w:r>
      <w:r w:rsidR="00AA7ED9" w:rsidRPr="00AA7ED9">
        <w:rPr>
          <w:lang w:val="uk-UA"/>
        </w:rPr>
        <w:t xml:space="preserve">досягнення </w:t>
      </w:r>
      <w:r w:rsidR="00AA7ED9">
        <w:rPr>
          <w:lang w:val="uk-UA"/>
        </w:rPr>
        <w:t xml:space="preserve">балансу </w:t>
      </w:r>
      <w:r w:rsidR="00AA7ED9" w:rsidRPr="00AA7ED9">
        <w:rPr>
          <w:lang w:val="uk-UA"/>
        </w:rPr>
        <w:t>між позитивною роллю праці в житті підлітків і забезпеченням їх</w:t>
      </w:r>
      <w:r w:rsidR="00AA7ED9">
        <w:rPr>
          <w:lang w:val="uk-UA"/>
        </w:rPr>
        <w:t>нього права на обов’</w:t>
      </w:r>
      <w:r w:rsidR="00AA7ED9" w:rsidRPr="00AA7ED9">
        <w:rPr>
          <w:lang w:val="uk-UA"/>
        </w:rPr>
        <w:t xml:space="preserve">язкову освіту без будь-якої дискримінації. Навчання в школі і перехід до гідної праці повинні </w:t>
      </w:r>
      <w:r w:rsidR="00AA7ED9">
        <w:rPr>
          <w:lang w:val="uk-UA"/>
        </w:rPr>
        <w:t xml:space="preserve">належним чином </w:t>
      </w:r>
      <w:r w:rsidR="00AA7ED9" w:rsidRPr="00AA7ED9">
        <w:rPr>
          <w:lang w:val="uk-UA"/>
        </w:rPr>
        <w:t>координуватися</w:t>
      </w:r>
      <w:r w:rsidR="00AA7ED9">
        <w:rPr>
          <w:lang w:val="uk-UA"/>
        </w:rPr>
        <w:t xml:space="preserve">, щоб сприяти обом цим процесам у житті підлітків відповідно до віку та ефективних механізмів </w:t>
      </w:r>
      <w:r w:rsidR="00AA7ED9" w:rsidRPr="00AA7ED9">
        <w:rPr>
          <w:lang w:val="uk-UA"/>
        </w:rPr>
        <w:t xml:space="preserve">регулювання такої роботи, а також </w:t>
      </w:r>
      <w:r w:rsidR="00AA7ED9">
        <w:rPr>
          <w:lang w:val="uk-UA"/>
        </w:rPr>
        <w:t xml:space="preserve">забезпечувати </w:t>
      </w:r>
      <w:r w:rsidR="00AA7ED9" w:rsidRPr="00AA7ED9">
        <w:rPr>
          <w:lang w:val="uk-UA"/>
        </w:rPr>
        <w:t>відшкодування</w:t>
      </w:r>
      <w:r w:rsidR="00AA7ED9">
        <w:rPr>
          <w:lang w:val="uk-UA"/>
        </w:rPr>
        <w:t xml:space="preserve"> у разі, якщо </w:t>
      </w:r>
      <w:r w:rsidR="00AA7ED9" w:rsidRPr="00AA7ED9">
        <w:rPr>
          <w:lang w:val="uk-UA"/>
        </w:rPr>
        <w:t xml:space="preserve">підлітки стають жертвами експлуатації. Слід передбачити захист всіх дітей </w:t>
      </w:r>
      <w:r w:rsidR="00AA7ED9">
        <w:rPr>
          <w:lang w:val="uk-UA"/>
        </w:rPr>
        <w:t xml:space="preserve">молодше </w:t>
      </w:r>
      <w:r w:rsidR="00AA7ED9" w:rsidRPr="00AA7ED9">
        <w:rPr>
          <w:lang w:val="uk-UA"/>
        </w:rPr>
        <w:t>18 років від небезпечних видів робіт</w:t>
      </w:r>
      <w:r w:rsidR="00AA7ED9">
        <w:rPr>
          <w:lang w:val="uk-UA"/>
        </w:rPr>
        <w:t xml:space="preserve">, та </w:t>
      </w:r>
      <w:r w:rsidR="00AA7ED9" w:rsidRPr="00AA7ED9">
        <w:rPr>
          <w:lang w:val="uk-UA"/>
        </w:rPr>
        <w:t>визначити чіткий перелік</w:t>
      </w:r>
      <w:r w:rsidR="00AA7ED9">
        <w:rPr>
          <w:lang w:val="uk-UA"/>
        </w:rPr>
        <w:t xml:space="preserve"> шкідливих робіт</w:t>
      </w:r>
      <w:r w:rsidR="00AA7ED9" w:rsidRPr="00AA7ED9">
        <w:rPr>
          <w:lang w:val="uk-UA"/>
        </w:rPr>
        <w:t xml:space="preserve">. У </w:t>
      </w:r>
      <w:r w:rsidR="00AA7ED9">
        <w:rPr>
          <w:lang w:val="uk-UA"/>
        </w:rPr>
        <w:t xml:space="preserve">цьому сенсі пріоритетними мають стати зусилля, </w:t>
      </w:r>
      <w:r w:rsidR="00AA7ED9" w:rsidRPr="00AA7ED9">
        <w:rPr>
          <w:lang w:val="uk-UA"/>
        </w:rPr>
        <w:t xml:space="preserve">спрямовані на </w:t>
      </w:r>
      <w:r w:rsidR="00AA7ED9">
        <w:rPr>
          <w:lang w:val="uk-UA"/>
        </w:rPr>
        <w:t xml:space="preserve">попередження шкідливих видів робіт та </w:t>
      </w:r>
      <w:r w:rsidR="00AA7ED9" w:rsidRPr="00AA7ED9">
        <w:rPr>
          <w:lang w:val="uk-UA"/>
        </w:rPr>
        <w:t xml:space="preserve">умов праці, </w:t>
      </w:r>
      <w:r w:rsidR="00AA7ED9">
        <w:rPr>
          <w:lang w:val="uk-UA"/>
        </w:rPr>
        <w:t>з особливою увагою до дівчат, які працюють у</w:t>
      </w:r>
      <w:r w:rsidR="00AA7ED9" w:rsidRPr="00AA7ED9">
        <w:rPr>
          <w:lang w:val="uk-UA"/>
        </w:rPr>
        <w:t xml:space="preserve"> якості дом</w:t>
      </w:r>
      <w:r w:rsidR="00AA7ED9">
        <w:rPr>
          <w:lang w:val="uk-UA"/>
        </w:rPr>
        <w:t>ашніх служниць, та інших здебільшого «невидимих» працівників.</w:t>
      </w:r>
    </w:p>
    <w:p w:rsidR="00A007F8" w:rsidRPr="00AA7ED9" w:rsidRDefault="00A007F8" w:rsidP="00A007F8">
      <w:pPr>
        <w:pStyle w:val="SingleTxtGR"/>
        <w:rPr>
          <w:lang w:val="uk-UA"/>
        </w:rPr>
      </w:pPr>
    </w:p>
    <w:p w:rsidR="00A007F8" w:rsidRPr="00AA7ED9" w:rsidRDefault="00A007F8" w:rsidP="0067613A">
      <w:pPr>
        <w:pStyle w:val="H23GR"/>
        <w:rPr>
          <w:lang w:val="uk-UA"/>
        </w:rPr>
      </w:pPr>
      <w:r w:rsidRPr="00AA7ED9">
        <w:rPr>
          <w:lang w:val="uk-UA"/>
        </w:rPr>
        <w:lastRenderedPageBreak/>
        <w:tab/>
      </w:r>
      <w:r w:rsidRPr="00AA7ED9">
        <w:rPr>
          <w:lang w:val="uk-UA"/>
        </w:rPr>
        <w:tab/>
        <w:t>Правосу</w:t>
      </w:r>
      <w:r w:rsidR="00AA7ED9">
        <w:rPr>
          <w:lang w:val="uk-UA"/>
        </w:rPr>
        <w:t>ддя щодо неповнолітніх</w:t>
      </w:r>
    </w:p>
    <w:p w:rsidR="00A007F8" w:rsidRPr="00AA7ED9" w:rsidRDefault="00A007F8" w:rsidP="00A007F8">
      <w:pPr>
        <w:pStyle w:val="SingleTxtGR"/>
        <w:rPr>
          <w:lang w:val="uk-UA"/>
        </w:rPr>
      </w:pPr>
      <w:r w:rsidRPr="00AA7ED9">
        <w:rPr>
          <w:lang w:val="uk-UA"/>
        </w:rPr>
        <w:t>87.</w:t>
      </w:r>
      <w:r w:rsidRPr="00AA7ED9">
        <w:rPr>
          <w:lang w:val="uk-UA"/>
        </w:rPr>
        <w:tab/>
      </w:r>
      <w:r w:rsidR="00EF14E8" w:rsidRPr="00EF14E8">
        <w:rPr>
          <w:lang w:val="uk-UA"/>
        </w:rPr>
        <w:t xml:space="preserve">Підлітки можуть </w:t>
      </w:r>
      <w:r w:rsidR="00EF14E8">
        <w:rPr>
          <w:lang w:val="uk-UA"/>
        </w:rPr>
        <w:t xml:space="preserve">контактувати з </w:t>
      </w:r>
      <w:r w:rsidR="00EF14E8" w:rsidRPr="00EF14E8">
        <w:rPr>
          <w:lang w:val="uk-UA"/>
        </w:rPr>
        <w:t>системами правосу</w:t>
      </w:r>
      <w:r w:rsidR="00EF14E8">
        <w:rPr>
          <w:lang w:val="uk-UA"/>
        </w:rPr>
        <w:t xml:space="preserve">ддя в результаті конфлікту із законом, у якості </w:t>
      </w:r>
      <w:r w:rsidR="00EF14E8" w:rsidRPr="00EF14E8">
        <w:rPr>
          <w:lang w:val="uk-UA"/>
        </w:rPr>
        <w:t>жертв або свідків злочин</w:t>
      </w:r>
      <w:r w:rsidR="00EF14E8">
        <w:rPr>
          <w:lang w:val="uk-UA"/>
        </w:rPr>
        <w:t xml:space="preserve">у, </w:t>
      </w:r>
      <w:r w:rsidR="00EF14E8" w:rsidRPr="00EF14E8">
        <w:rPr>
          <w:lang w:val="uk-UA"/>
        </w:rPr>
        <w:t xml:space="preserve">або </w:t>
      </w:r>
      <w:r w:rsidR="00EF14E8">
        <w:rPr>
          <w:lang w:val="uk-UA"/>
        </w:rPr>
        <w:t xml:space="preserve">з </w:t>
      </w:r>
      <w:r w:rsidR="00EF14E8" w:rsidRPr="00EF14E8">
        <w:rPr>
          <w:lang w:val="uk-UA"/>
        </w:rPr>
        <w:t xml:space="preserve">інших причин, </w:t>
      </w:r>
      <w:r w:rsidR="00EF14E8">
        <w:rPr>
          <w:lang w:val="uk-UA"/>
        </w:rPr>
        <w:t xml:space="preserve">наприклад, </w:t>
      </w:r>
      <w:r w:rsidR="00EF14E8" w:rsidRPr="00EF14E8">
        <w:rPr>
          <w:lang w:val="uk-UA"/>
        </w:rPr>
        <w:t xml:space="preserve">здійснення догляду, опіки або захисту. Необхідні заходи щодо зниження уразливості підлітків як </w:t>
      </w:r>
      <w:r w:rsidR="00EF14E8">
        <w:rPr>
          <w:lang w:val="uk-UA"/>
        </w:rPr>
        <w:t xml:space="preserve">у ролі </w:t>
      </w:r>
      <w:r w:rsidR="00EF14E8" w:rsidRPr="00EF14E8">
        <w:rPr>
          <w:lang w:val="uk-UA"/>
        </w:rPr>
        <w:t>жертв</w:t>
      </w:r>
      <w:r w:rsidR="00EF14E8">
        <w:rPr>
          <w:lang w:val="uk-UA"/>
        </w:rPr>
        <w:t>, так і правопорушників</w:t>
      </w:r>
      <w:r w:rsidRPr="00AA7ED9">
        <w:rPr>
          <w:lang w:val="uk-UA"/>
        </w:rPr>
        <w:t>.</w:t>
      </w:r>
    </w:p>
    <w:p w:rsidR="00A007F8" w:rsidRPr="00AA7ED9" w:rsidRDefault="00A007F8" w:rsidP="00A007F8">
      <w:pPr>
        <w:pStyle w:val="SingleTxtGR"/>
        <w:rPr>
          <w:lang w:val="uk-UA"/>
        </w:rPr>
      </w:pPr>
      <w:r w:rsidRPr="00AA7ED9">
        <w:rPr>
          <w:lang w:val="uk-UA"/>
        </w:rPr>
        <w:t>88.</w:t>
      </w:r>
      <w:r w:rsidRPr="00AA7ED9">
        <w:rPr>
          <w:lang w:val="uk-UA"/>
        </w:rPr>
        <w:tab/>
      </w:r>
      <w:r w:rsidR="00EF14E8" w:rsidRPr="00EF14E8">
        <w:rPr>
          <w:lang w:val="uk-UA"/>
        </w:rPr>
        <w:t xml:space="preserve">Державам-учасницям переконливо </w:t>
      </w:r>
      <w:r w:rsidR="00EF14E8">
        <w:rPr>
          <w:lang w:val="uk-UA"/>
        </w:rPr>
        <w:t xml:space="preserve">рекомендується запровадити комплексну </w:t>
      </w:r>
      <w:r w:rsidR="00EF14E8" w:rsidRPr="00EF14E8">
        <w:rPr>
          <w:lang w:val="uk-UA"/>
        </w:rPr>
        <w:t xml:space="preserve">політику </w:t>
      </w:r>
      <w:r w:rsidR="00EF14E8">
        <w:rPr>
          <w:lang w:val="uk-UA"/>
        </w:rPr>
        <w:t xml:space="preserve">в галузі </w:t>
      </w:r>
      <w:r w:rsidR="00EF14E8" w:rsidRPr="00EF14E8">
        <w:rPr>
          <w:lang w:val="uk-UA"/>
        </w:rPr>
        <w:t>правосуддя щодо неповнолітніх</w:t>
      </w:r>
      <w:r w:rsidR="00EF14E8">
        <w:rPr>
          <w:lang w:val="uk-UA"/>
        </w:rPr>
        <w:t xml:space="preserve"> (ювенальну юстицію)</w:t>
      </w:r>
      <w:r w:rsidR="00EF14E8" w:rsidRPr="00EF14E8">
        <w:rPr>
          <w:lang w:val="uk-UA"/>
        </w:rPr>
        <w:t xml:space="preserve">, </w:t>
      </w:r>
      <w:r w:rsidR="00EF14E8">
        <w:rPr>
          <w:lang w:val="uk-UA"/>
        </w:rPr>
        <w:t xml:space="preserve">яка б зосереджувалася на питаннях </w:t>
      </w:r>
      <w:r w:rsidR="00EF14E8" w:rsidRPr="00EF14E8">
        <w:rPr>
          <w:lang w:val="uk-UA"/>
        </w:rPr>
        <w:t xml:space="preserve">відновного правосуддя, </w:t>
      </w:r>
      <w:r w:rsidR="00EF14E8">
        <w:rPr>
          <w:lang w:val="uk-UA"/>
        </w:rPr>
        <w:t>виведення</w:t>
      </w:r>
      <w:r w:rsidR="00EF14E8" w:rsidRPr="00EF14E8">
        <w:rPr>
          <w:lang w:val="uk-UA"/>
        </w:rPr>
        <w:t xml:space="preserve"> підлітків з системи судових розглядів, застосуванн</w:t>
      </w:r>
      <w:r w:rsidR="00EF14E8">
        <w:rPr>
          <w:lang w:val="uk-UA"/>
        </w:rPr>
        <w:t xml:space="preserve">я альтернатив </w:t>
      </w:r>
      <w:r w:rsidR="00EF14E8" w:rsidRPr="00EF14E8">
        <w:rPr>
          <w:lang w:val="uk-UA"/>
        </w:rPr>
        <w:t>триманню під вартою, і профілактичних заход</w:t>
      </w:r>
      <w:r w:rsidR="00EF14E8">
        <w:rPr>
          <w:lang w:val="uk-UA"/>
        </w:rPr>
        <w:t>ах</w:t>
      </w:r>
      <w:r w:rsidR="00EF14E8" w:rsidRPr="00EF14E8">
        <w:rPr>
          <w:lang w:val="uk-UA"/>
        </w:rPr>
        <w:t xml:space="preserve">, щоб </w:t>
      </w:r>
      <w:r w:rsidR="00EF14E8">
        <w:rPr>
          <w:lang w:val="uk-UA"/>
        </w:rPr>
        <w:t xml:space="preserve">усунути соціальні фактори та першопричини </w:t>
      </w:r>
      <w:r w:rsidR="00EF14E8" w:rsidRPr="00EF14E8">
        <w:rPr>
          <w:lang w:val="uk-UA"/>
        </w:rPr>
        <w:t>відповідно до статей 37 і 40 Конвенції та Керівними принципами Організації Об'єднаних Нац</w:t>
      </w:r>
      <w:r w:rsidR="00EF14E8">
        <w:rPr>
          <w:lang w:val="uk-UA"/>
        </w:rPr>
        <w:t xml:space="preserve">ій </w:t>
      </w:r>
      <w:r w:rsidR="00EF14E8" w:rsidRPr="00EF14E8">
        <w:rPr>
          <w:lang w:val="uk-UA"/>
        </w:rPr>
        <w:t xml:space="preserve">для попередження злочинності серед неповнолітніх. Особливу увагу слід приділяти реабілітації та реінтеграції, в тому числі підлітків, </w:t>
      </w:r>
      <w:r w:rsidR="00EF14E8">
        <w:rPr>
          <w:lang w:val="uk-UA"/>
        </w:rPr>
        <w:t>втягнутих у</w:t>
      </w:r>
      <w:r w:rsidR="00EF14E8" w:rsidRPr="00EF14E8">
        <w:rPr>
          <w:lang w:val="uk-UA"/>
        </w:rPr>
        <w:t xml:space="preserve"> діяльн</w:t>
      </w:r>
      <w:r w:rsidR="00EF14E8">
        <w:rPr>
          <w:lang w:val="uk-UA"/>
        </w:rPr>
        <w:t>ість</w:t>
      </w:r>
      <w:r w:rsidR="00EF14E8" w:rsidRPr="00EF14E8">
        <w:rPr>
          <w:lang w:val="uk-UA"/>
        </w:rPr>
        <w:t xml:space="preserve">, </w:t>
      </w:r>
      <w:r w:rsidR="00EF14E8">
        <w:rPr>
          <w:lang w:val="uk-UA"/>
        </w:rPr>
        <w:t>що</w:t>
      </w:r>
      <w:r w:rsidR="00EF14E8" w:rsidRPr="00EF14E8">
        <w:rPr>
          <w:lang w:val="uk-UA"/>
        </w:rPr>
        <w:t xml:space="preserve"> кваліфікується як тероризм, відповідно до рекомендацій</w:t>
      </w:r>
      <w:r w:rsidR="00EF14E8">
        <w:rPr>
          <w:lang w:val="uk-UA"/>
        </w:rPr>
        <w:t xml:space="preserve"> зауваження загального порядку №</w:t>
      </w:r>
      <w:r w:rsidR="00EF14E8" w:rsidRPr="00EF14E8">
        <w:rPr>
          <w:lang w:val="uk-UA"/>
        </w:rPr>
        <w:t xml:space="preserve">10 (2007) про права дітей в рамках здійснення правосуддя </w:t>
      </w:r>
      <w:bookmarkStart w:id="17" w:name="_GoBack"/>
      <w:bookmarkEnd w:id="17"/>
      <w:r w:rsidR="00EF14E8" w:rsidRPr="00EF14E8">
        <w:rPr>
          <w:lang w:val="uk-UA"/>
        </w:rPr>
        <w:t xml:space="preserve">щодо неповнолітніх. Утримання під вартою </w:t>
      </w:r>
      <w:r w:rsidR="00EF14E8">
        <w:rPr>
          <w:lang w:val="uk-UA"/>
        </w:rPr>
        <w:t xml:space="preserve">має </w:t>
      </w:r>
      <w:r w:rsidR="00EF14E8" w:rsidRPr="00EF14E8">
        <w:rPr>
          <w:lang w:val="uk-UA"/>
        </w:rPr>
        <w:t xml:space="preserve">застосовуватися лише </w:t>
      </w:r>
      <w:r w:rsidR="00EF14E8">
        <w:rPr>
          <w:lang w:val="uk-UA"/>
        </w:rPr>
        <w:t xml:space="preserve">у якості останнього засобу </w:t>
      </w:r>
      <w:r w:rsidR="00EF14E8" w:rsidRPr="00EF14E8">
        <w:rPr>
          <w:lang w:val="uk-UA"/>
        </w:rPr>
        <w:t xml:space="preserve">і протягом якомога більш короткого періоду часу, а підлітки повинні утримуватися окремо від дорослих. Комітет </w:t>
      </w:r>
      <w:r w:rsidR="00EF14E8">
        <w:rPr>
          <w:lang w:val="uk-UA"/>
        </w:rPr>
        <w:t xml:space="preserve">наголошує на нагальній необхідності заборони </w:t>
      </w:r>
      <w:r w:rsidR="00EF14E8" w:rsidRPr="00EF14E8">
        <w:rPr>
          <w:lang w:val="uk-UA"/>
        </w:rPr>
        <w:t>смертн</w:t>
      </w:r>
      <w:r w:rsidR="00EF14E8">
        <w:rPr>
          <w:lang w:val="uk-UA"/>
        </w:rPr>
        <w:t>ої кари та довічного ув’</w:t>
      </w:r>
      <w:r w:rsidR="00EF14E8" w:rsidRPr="00EF14E8">
        <w:rPr>
          <w:lang w:val="uk-UA"/>
        </w:rPr>
        <w:t>язнення для будь-якої особи, засуджено</w:t>
      </w:r>
      <w:r w:rsidR="00EF14E8">
        <w:rPr>
          <w:lang w:val="uk-UA"/>
        </w:rPr>
        <w:t xml:space="preserve">ї </w:t>
      </w:r>
      <w:r w:rsidR="00EF14E8" w:rsidRPr="00EF14E8">
        <w:rPr>
          <w:lang w:val="uk-UA"/>
        </w:rPr>
        <w:t xml:space="preserve">за злочин, </w:t>
      </w:r>
      <w:r w:rsidR="00EF14E8">
        <w:rPr>
          <w:lang w:val="uk-UA"/>
        </w:rPr>
        <w:t xml:space="preserve">скоєний </w:t>
      </w:r>
      <w:r w:rsidR="00EF14E8" w:rsidRPr="00EF14E8">
        <w:rPr>
          <w:lang w:val="uk-UA"/>
        </w:rPr>
        <w:t xml:space="preserve">у віці до 18 років. Комітет серйозно стурбований </w:t>
      </w:r>
      <w:r w:rsidR="00EF14E8">
        <w:rPr>
          <w:lang w:val="uk-UA"/>
        </w:rPr>
        <w:t xml:space="preserve">кількістю </w:t>
      </w:r>
      <w:r w:rsidR="00EF14E8" w:rsidRPr="00EF14E8">
        <w:rPr>
          <w:lang w:val="uk-UA"/>
        </w:rPr>
        <w:t xml:space="preserve">держав, що прагнуть знизити вік настання кримінальної відповідальності, і закликає держави </w:t>
      </w:r>
      <w:r w:rsidR="00EF14E8">
        <w:rPr>
          <w:lang w:val="uk-UA"/>
        </w:rPr>
        <w:t xml:space="preserve">утримувати цей </w:t>
      </w:r>
      <w:r w:rsidR="00EF14E8" w:rsidRPr="00EF14E8">
        <w:rPr>
          <w:lang w:val="uk-UA"/>
        </w:rPr>
        <w:t xml:space="preserve">вік </w:t>
      </w:r>
      <w:r w:rsidR="00EF14E8">
        <w:rPr>
          <w:lang w:val="uk-UA"/>
        </w:rPr>
        <w:t xml:space="preserve">на рівні </w:t>
      </w:r>
      <w:r w:rsidR="00EF14E8" w:rsidRPr="00EF14E8">
        <w:rPr>
          <w:lang w:val="uk-UA"/>
        </w:rPr>
        <w:t>18 років</w:t>
      </w:r>
      <w:r w:rsidRPr="00AA7ED9">
        <w:rPr>
          <w:lang w:val="uk-UA"/>
        </w:rPr>
        <w:t>.</w:t>
      </w:r>
    </w:p>
    <w:p w:rsidR="00A007F8" w:rsidRPr="00543B43" w:rsidRDefault="00A007F8" w:rsidP="0067613A">
      <w:pPr>
        <w:pStyle w:val="HChGR"/>
        <w:rPr>
          <w:lang w:val="uk-UA"/>
        </w:rPr>
      </w:pPr>
      <w:r w:rsidRPr="00543B43">
        <w:rPr>
          <w:lang w:val="uk-UA"/>
        </w:rPr>
        <w:tab/>
        <w:t>XIV.</w:t>
      </w:r>
      <w:r w:rsidRPr="00543B43">
        <w:rPr>
          <w:lang w:val="uk-UA"/>
        </w:rPr>
        <w:tab/>
        <w:t>М</w:t>
      </w:r>
      <w:r w:rsidR="00543B43">
        <w:rPr>
          <w:lang w:val="uk-UA"/>
        </w:rPr>
        <w:t>іжнародне співробітництво</w:t>
      </w:r>
      <w:bookmarkStart w:id="18" w:name="_Toc468797249"/>
      <w:bookmarkEnd w:id="18"/>
    </w:p>
    <w:p w:rsidR="00543B43" w:rsidRDefault="00A007F8" w:rsidP="00A007F8">
      <w:pPr>
        <w:pStyle w:val="SingleTxtGR"/>
        <w:rPr>
          <w:lang w:val="uk-UA"/>
        </w:rPr>
      </w:pPr>
      <w:r w:rsidRPr="00543B43">
        <w:rPr>
          <w:lang w:val="uk-UA"/>
        </w:rPr>
        <w:t>89.</w:t>
      </w:r>
      <w:r w:rsidRPr="00543B43">
        <w:rPr>
          <w:lang w:val="uk-UA"/>
        </w:rPr>
        <w:tab/>
      </w:r>
      <w:r w:rsidR="00543B43" w:rsidRPr="00543B43">
        <w:rPr>
          <w:lang w:val="uk-UA"/>
        </w:rPr>
        <w:t xml:space="preserve">Комітет </w:t>
      </w:r>
      <w:r w:rsidR="00543B43">
        <w:rPr>
          <w:lang w:val="uk-UA"/>
        </w:rPr>
        <w:t>наголошує</w:t>
      </w:r>
      <w:r w:rsidR="00543B43" w:rsidRPr="00543B43">
        <w:rPr>
          <w:lang w:val="uk-UA"/>
        </w:rPr>
        <w:t xml:space="preserve">, що </w:t>
      </w:r>
      <w:r w:rsidR="00543B43">
        <w:rPr>
          <w:lang w:val="uk-UA"/>
        </w:rPr>
        <w:t xml:space="preserve">для держав-учасниць впровадження </w:t>
      </w:r>
      <w:r w:rsidR="00543B43" w:rsidRPr="00543B43">
        <w:rPr>
          <w:lang w:val="uk-UA"/>
        </w:rPr>
        <w:t xml:space="preserve">Конвенції </w:t>
      </w:r>
      <w:r w:rsidR="00543B43">
        <w:rPr>
          <w:lang w:val="uk-UA"/>
        </w:rPr>
        <w:t>– це процес співпраці</w:t>
      </w:r>
      <w:r w:rsidR="00543B43" w:rsidRPr="00543B43">
        <w:rPr>
          <w:lang w:val="uk-UA"/>
        </w:rPr>
        <w:t>, і вказує на необхідність міжнародного співробітництва. Комітет закликає держави-учасни</w:t>
      </w:r>
      <w:r w:rsidR="00543B43">
        <w:rPr>
          <w:lang w:val="uk-UA"/>
        </w:rPr>
        <w:t xml:space="preserve">ці за необхідності </w:t>
      </w:r>
      <w:r w:rsidR="00543B43" w:rsidRPr="00543B43">
        <w:rPr>
          <w:lang w:val="uk-UA"/>
        </w:rPr>
        <w:t xml:space="preserve">сприяти </w:t>
      </w:r>
      <w:r w:rsidR="00543B43">
        <w:rPr>
          <w:lang w:val="uk-UA"/>
        </w:rPr>
        <w:t xml:space="preserve">та використовувати технічну допомогу </w:t>
      </w:r>
      <w:r w:rsidR="00543B43" w:rsidRPr="00543B43">
        <w:rPr>
          <w:lang w:val="uk-UA"/>
        </w:rPr>
        <w:t>з боку Організації Об'єднаних Націй і регіональних організацій в справі здійснення прав підлітків</w:t>
      </w:r>
      <w:r w:rsidR="00543B43">
        <w:rPr>
          <w:lang w:val="uk-UA"/>
        </w:rPr>
        <w:t>.</w:t>
      </w:r>
    </w:p>
    <w:p w:rsidR="00A007F8" w:rsidRPr="0078373B" w:rsidRDefault="0078373B" w:rsidP="003F64DB">
      <w:pPr>
        <w:pStyle w:val="HChGR"/>
        <w:rPr>
          <w:lang w:val="uk-UA"/>
        </w:rPr>
      </w:pPr>
      <w:r>
        <w:rPr>
          <w:lang w:val="uk-UA"/>
        </w:rPr>
        <w:tab/>
        <w:t>XV.</w:t>
      </w:r>
      <w:r>
        <w:rPr>
          <w:lang w:val="uk-UA"/>
        </w:rPr>
        <w:tab/>
        <w:t>Поширення</w:t>
      </w:r>
      <w:bookmarkStart w:id="19" w:name="_Toc468797250"/>
      <w:bookmarkEnd w:id="19"/>
    </w:p>
    <w:p w:rsidR="00A007F8" w:rsidRPr="0078373B" w:rsidRDefault="00A007F8" w:rsidP="00A007F8">
      <w:pPr>
        <w:pStyle w:val="SingleTxtGR"/>
        <w:rPr>
          <w:lang w:val="uk-UA"/>
        </w:rPr>
      </w:pPr>
      <w:r w:rsidRPr="0078373B">
        <w:rPr>
          <w:lang w:val="uk-UA"/>
        </w:rPr>
        <w:t>90.</w:t>
      </w:r>
      <w:r w:rsidRPr="0078373B">
        <w:rPr>
          <w:lang w:val="uk-UA"/>
        </w:rPr>
        <w:tab/>
      </w:r>
      <w:r w:rsidR="0078373B" w:rsidRPr="0078373B">
        <w:rPr>
          <w:lang w:val="uk-UA"/>
        </w:rPr>
        <w:t>Комітет рекомендує державам-учасни</w:t>
      </w:r>
      <w:r w:rsidR="0078373B">
        <w:rPr>
          <w:lang w:val="uk-UA"/>
        </w:rPr>
        <w:t xml:space="preserve">цям </w:t>
      </w:r>
      <w:r w:rsidR="0078373B" w:rsidRPr="0078373B">
        <w:rPr>
          <w:lang w:val="uk-UA"/>
        </w:rPr>
        <w:t xml:space="preserve">широко </w:t>
      </w:r>
      <w:r w:rsidR="0078373B">
        <w:rPr>
          <w:lang w:val="uk-UA"/>
        </w:rPr>
        <w:t xml:space="preserve">розповсюджувати дане зауваження загального порядку </w:t>
      </w:r>
      <w:r w:rsidR="0078373B" w:rsidRPr="0078373B">
        <w:rPr>
          <w:lang w:val="uk-UA"/>
        </w:rPr>
        <w:t>серед усіх зацікавлени</w:t>
      </w:r>
      <w:r w:rsidR="0078373B">
        <w:rPr>
          <w:lang w:val="uk-UA"/>
        </w:rPr>
        <w:t>х сторін, зокрема в парламенті та</w:t>
      </w:r>
      <w:r w:rsidR="0078373B" w:rsidRPr="0078373B">
        <w:rPr>
          <w:lang w:val="uk-UA"/>
        </w:rPr>
        <w:t xml:space="preserve"> на всіх рівнях </w:t>
      </w:r>
      <w:r w:rsidR="0078373B">
        <w:rPr>
          <w:lang w:val="uk-UA"/>
        </w:rPr>
        <w:t xml:space="preserve">державного управління – в </w:t>
      </w:r>
      <w:r w:rsidR="0078373B" w:rsidRPr="0078373B">
        <w:rPr>
          <w:lang w:val="uk-UA"/>
        </w:rPr>
        <w:t xml:space="preserve">міністерствах, відомствах і муніципальних / місцевих органах влади, а також серед усіх підлітків. Комітет </w:t>
      </w:r>
      <w:r w:rsidR="0078373B">
        <w:rPr>
          <w:lang w:val="uk-UA"/>
        </w:rPr>
        <w:t xml:space="preserve">також </w:t>
      </w:r>
      <w:r w:rsidR="0078373B" w:rsidRPr="0078373B">
        <w:rPr>
          <w:lang w:val="uk-UA"/>
        </w:rPr>
        <w:t xml:space="preserve">рекомендує, щоб </w:t>
      </w:r>
      <w:r w:rsidR="0078373B">
        <w:rPr>
          <w:lang w:val="uk-UA"/>
        </w:rPr>
        <w:t xml:space="preserve">дане </w:t>
      </w:r>
      <w:r w:rsidR="0078373B" w:rsidRPr="0078373B">
        <w:rPr>
          <w:lang w:val="uk-UA"/>
        </w:rPr>
        <w:t>зауваження загального порядку було пере</w:t>
      </w:r>
      <w:r w:rsidR="0078373B">
        <w:rPr>
          <w:lang w:val="uk-UA"/>
        </w:rPr>
        <w:t>кладене на всі відповідні мови у</w:t>
      </w:r>
      <w:r w:rsidR="0078373B" w:rsidRPr="0078373B">
        <w:rPr>
          <w:lang w:val="uk-UA"/>
        </w:rPr>
        <w:t xml:space="preserve"> зручних для підлітків варіантах </w:t>
      </w:r>
      <w:r w:rsidR="0078373B">
        <w:rPr>
          <w:lang w:val="uk-UA"/>
        </w:rPr>
        <w:t xml:space="preserve">та у </w:t>
      </w:r>
      <w:r w:rsidR="0078373B" w:rsidRPr="0078373B">
        <w:rPr>
          <w:lang w:val="uk-UA"/>
        </w:rPr>
        <w:t>форматах, доступних для підлітків</w:t>
      </w:r>
      <w:r w:rsidR="0078373B">
        <w:rPr>
          <w:lang w:val="uk-UA"/>
        </w:rPr>
        <w:t xml:space="preserve"> з інвалідністю</w:t>
      </w:r>
      <w:r w:rsidRPr="0078373B">
        <w:rPr>
          <w:lang w:val="uk-UA"/>
        </w:rPr>
        <w:t>.</w:t>
      </w:r>
    </w:p>
    <w:p w:rsidR="00A007F8" w:rsidRPr="003F64DB" w:rsidRDefault="003F64DB" w:rsidP="003F64DB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007F8" w:rsidRPr="003F64DB" w:rsidSect="003B4AA7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701" w:right="1134" w:bottom="2268" w:left="1134" w:header="1134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5F8" w:rsidRDefault="00DA35F8" w:rsidP="00B471C5">
      <w:r>
        <w:separator/>
      </w:r>
    </w:p>
  </w:endnote>
  <w:endnote w:type="continuationSeparator" w:id="0">
    <w:p w:rsidR="00DA35F8" w:rsidRDefault="00DA35F8" w:rsidP="00B4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39T30Lfz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8C" w:rsidRPr="009A6F4A" w:rsidRDefault="00650A8C">
    <w:pPr>
      <w:pStyle w:val="Footer"/>
      <w:rPr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462D">
      <w:rPr>
        <w:rStyle w:val="PageNumber"/>
        <w:noProof/>
      </w:rPr>
      <w:t>30</w:t>
    </w:r>
    <w:r>
      <w:rPr>
        <w:rStyle w:val="PageNumber"/>
      </w:rPr>
      <w:fldChar w:fldCharType="end"/>
    </w:r>
    <w:r>
      <w:rPr>
        <w:lang w:val="en-US"/>
      </w:rPr>
      <w:tab/>
      <w:t>GE.16-21563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8C" w:rsidRPr="009A6F4A" w:rsidRDefault="00650A8C">
    <w:pPr>
      <w:pStyle w:val="Footer"/>
      <w:rPr>
        <w:lang w:val="en-US"/>
      </w:rPr>
    </w:pPr>
    <w:r>
      <w:rPr>
        <w:lang w:val="en-US"/>
      </w:rPr>
      <w:t>GE.16-21563</w:t>
    </w:r>
    <w:r>
      <w:rPr>
        <w:lang w:val="en-US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7462D">
      <w:rPr>
        <w:rStyle w:val="PageNumber"/>
        <w:noProof/>
      </w:rPr>
      <w:t>29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648"/>
      <w:gridCol w:w="5056"/>
      <w:gridCol w:w="972"/>
    </w:tblGrid>
    <w:tr w:rsidR="00650A8C" w:rsidRPr="00797A78" w:rsidTr="00A007F8">
      <w:trPr>
        <w:trHeight w:val="431"/>
      </w:trPr>
      <w:tc>
        <w:tcPr>
          <w:tcW w:w="3648" w:type="dxa"/>
          <w:tcMar>
            <w:left w:w="57" w:type="dxa"/>
            <w:right w:w="57" w:type="dxa"/>
          </w:tcMar>
          <w:vAlign w:val="bottom"/>
        </w:tcPr>
        <w:p w:rsidR="00650A8C" w:rsidRPr="001C3ABC" w:rsidRDefault="00650A8C" w:rsidP="00AF5ACE">
          <w:pPr>
            <w:spacing w:after="40"/>
            <w:rPr>
              <w:rFonts w:ascii="C39T30Lfz" w:hAnsi="C39T30Lfz"/>
              <w:spacing w:val="0"/>
              <w:w w:val="100"/>
              <w:kern w:val="0"/>
              <w:lang w:val="en-US" w:eastAsia="ru-RU"/>
            </w:rPr>
          </w:pPr>
          <w:r w:rsidRPr="001C3ABC">
            <w:rPr>
              <w:lang w:val="en-US"/>
            </w:rPr>
            <w:t>GE.16-</w:t>
          </w:r>
          <w:r>
            <w:rPr>
              <w:lang w:val="en-US"/>
            </w:rPr>
            <w:t>21563</w:t>
          </w:r>
          <w:r w:rsidRPr="001C3ABC">
            <w:rPr>
              <w:lang w:val="en-US"/>
            </w:rPr>
            <w:t xml:space="preserve"> (R)</w:t>
          </w:r>
          <w:r>
            <w:rPr>
              <w:lang w:val="en-US"/>
            </w:rPr>
            <w:t xml:space="preserve">  040117  050117</w:t>
          </w:r>
        </w:p>
      </w:tc>
      <w:tc>
        <w:tcPr>
          <w:tcW w:w="5056" w:type="dxa"/>
          <w:vMerge w:val="restart"/>
          <w:tcMar>
            <w:left w:w="57" w:type="dxa"/>
            <w:right w:w="57" w:type="dxa"/>
          </w:tcMar>
          <w:vAlign w:val="bottom"/>
        </w:tcPr>
        <w:p w:rsidR="00650A8C" w:rsidRDefault="00650A8C" w:rsidP="00A007F8">
          <w:pPr>
            <w:jc w:val="right"/>
          </w:pPr>
          <w:r>
            <w:rPr>
              <w:b/>
              <w:noProof/>
              <w:lang w:eastAsia="ru-RU"/>
            </w:rPr>
            <w:drawing>
              <wp:inline distT="0" distB="0" distL="0" distR="0" wp14:anchorId="15A1090C" wp14:editId="5DE4D7CA">
                <wp:extent cx="2655481" cy="277586"/>
                <wp:effectExtent l="0" t="0" r="0" b="8255"/>
                <wp:docPr id="2" name="Рисунок 2" descr="recycle_Russi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cycle_Russia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2647"/>
                        <a:stretch/>
                      </pic:blipFill>
                      <pic:spPr bwMode="auto">
                        <a:xfrm>
                          <a:off x="0" y="0"/>
                          <a:ext cx="2704465" cy="282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2" w:type="dxa"/>
          <w:vMerge w:val="restart"/>
          <w:tcMar>
            <w:left w:w="57" w:type="dxa"/>
            <w:right w:w="0" w:type="dxa"/>
          </w:tcMar>
          <w:vAlign w:val="bottom"/>
        </w:tcPr>
        <w:p w:rsidR="00650A8C" w:rsidRDefault="00650A8C" w:rsidP="00A007F8">
          <w:pPr>
            <w:jc w:val="right"/>
          </w:pPr>
          <w:r>
            <w:rPr>
              <w:noProof/>
              <w:lang w:eastAsia="ru-RU"/>
            </w:rPr>
            <w:drawing>
              <wp:inline distT="0" distB="0" distL="0" distR="0">
                <wp:extent cx="579755" cy="579755"/>
                <wp:effectExtent l="0" t="0" r="0" b="0"/>
                <wp:docPr id="3" name="Рисунок 3" descr="http://undocs.org/m2/QRCode.ashx?DS=CRC/C/GC/20&amp;Size=2 &amp;Lang=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.ashx?DS=CRC/C/GC/20&amp;Size=2 &amp;Lang=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75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50A8C" w:rsidRPr="00797A78" w:rsidTr="00A007F8">
      <w:trPr>
        <w:trHeight w:hRule="exact" w:val="564"/>
      </w:trPr>
      <w:tc>
        <w:tcPr>
          <w:tcW w:w="3648" w:type="dxa"/>
          <w:tcMar>
            <w:left w:w="57" w:type="dxa"/>
            <w:right w:w="57" w:type="dxa"/>
          </w:tcMar>
          <w:vAlign w:val="bottom"/>
        </w:tcPr>
        <w:p w:rsidR="00650A8C" w:rsidRPr="00B54776" w:rsidRDefault="00650A8C" w:rsidP="00A007F8">
          <w:pPr>
            <w:spacing w:after="40"/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</w:pPr>
          <w:r w:rsidRPr="00B54776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</w:t>
          </w:r>
          <w:r w:rsidRPr="00B54776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</w:t>
          </w:r>
          <w:r w:rsidRPr="00B54776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</w:t>
          </w:r>
          <w:r w:rsidRPr="00B54776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</w:t>
          </w:r>
          <w:r w:rsidRPr="00B54776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</w:t>
          </w:r>
          <w:r w:rsidRPr="00B54776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</w:t>
          </w:r>
          <w:r w:rsidRPr="00B54776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</w:t>
          </w:r>
          <w:r w:rsidRPr="00B54776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</w:t>
          </w:r>
          <w:r w:rsidRPr="00B54776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</w:t>
          </w:r>
        </w:p>
      </w:tc>
      <w:tc>
        <w:tcPr>
          <w:tcW w:w="5056" w:type="dxa"/>
          <w:vMerge/>
          <w:tcMar>
            <w:left w:w="57" w:type="dxa"/>
            <w:right w:w="57" w:type="dxa"/>
          </w:tcMar>
        </w:tcPr>
        <w:p w:rsidR="00650A8C" w:rsidRDefault="00650A8C" w:rsidP="00A007F8"/>
      </w:tc>
      <w:tc>
        <w:tcPr>
          <w:tcW w:w="972" w:type="dxa"/>
          <w:vMerge/>
          <w:tcMar>
            <w:left w:w="57" w:type="dxa"/>
            <w:right w:w="57" w:type="dxa"/>
          </w:tcMar>
        </w:tcPr>
        <w:p w:rsidR="00650A8C" w:rsidRDefault="00650A8C" w:rsidP="00A007F8"/>
      </w:tc>
    </w:tr>
  </w:tbl>
  <w:p w:rsidR="00650A8C" w:rsidRDefault="00650A8C" w:rsidP="00A007F8">
    <w:pPr>
      <w:spacing w:line="240" w:lineRule="auto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5F8" w:rsidRPr="009141DC" w:rsidRDefault="00DA35F8" w:rsidP="00D1261C">
      <w:pPr>
        <w:tabs>
          <w:tab w:val="left" w:pos="2268"/>
        </w:tabs>
        <w:spacing w:after="80"/>
        <w:ind w:left="680"/>
        <w:rPr>
          <w:u w:val="single"/>
          <w:lang w:val="en-US"/>
        </w:rPr>
      </w:pPr>
      <w:r>
        <w:rPr>
          <w:u w:val="single"/>
          <w:lang w:val="en-US"/>
        </w:rPr>
        <w:tab/>
      </w:r>
    </w:p>
  </w:footnote>
  <w:footnote w:type="continuationSeparator" w:id="0">
    <w:p w:rsidR="00DA35F8" w:rsidRPr="00D1261C" w:rsidRDefault="00DA35F8" w:rsidP="00D1261C">
      <w:pPr>
        <w:tabs>
          <w:tab w:val="left" w:pos="2268"/>
        </w:tabs>
        <w:spacing w:after="80"/>
        <w:rPr>
          <w:u w:val="single"/>
          <w:lang w:val="en-US"/>
        </w:rPr>
      </w:pPr>
      <w:r>
        <w:rPr>
          <w:u w:val="single"/>
          <w:lang w:val="en-US"/>
        </w:rPr>
        <w:tab/>
      </w:r>
    </w:p>
  </w:footnote>
  <w:footnote w:id="1">
    <w:p w:rsidR="00650A8C" w:rsidRPr="00F058DC" w:rsidRDefault="00650A8C" w:rsidP="00A007F8">
      <w:pPr>
        <w:pStyle w:val="FootnoteText"/>
        <w:widowControl w:val="0"/>
        <w:tabs>
          <w:tab w:val="clear" w:pos="1021"/>
          <w:tab w:val="right" w:pos="1020"/>
        </w:tabs>
        <w:rPr>
          <w:lang w:val="ru-RU"/>
        </w:rPr>
      </w:pPr>
      <w:r>
        <w:rPr>
          <w:lang w:val="ru-RU"/>
        </w:rPr>
        <w:tab/>
      </w:r>
      <w:r w:rsidRPr="007A2B82">
        <w:rPr>
          <w:rStyle w:val="FootnoteReference"/>
          <w:lang w:val="ru-RU"/>
        </w:rPr>
        <w:footnoteRef/>
      </w:r>
      <w:r w:rsidR="009B439F">
        <w:rPr>
          <w:lang w:val="ru-RU"/>
        </w:rPr>
        <w:tab/>
        <w:t>Див</w:t>
      </w:r>
      <w:r>
        <w:rPr>
          <w:lang w:val="ru-RU"/>
        </w:rPr>
        <w:t xml:space="preserve">. </w:t>
      </w:r>
      <w:hyperlink r:id="rId1" w:history="1">
        <w:r w:rsidRPr="00AF5ACE">
          <w:rPr>
            <w:rStyle w:val="Hyperlink"/>
            <w:color w:val="auto"/>
            <w:u w:val="none"/>
          </w:rPr>
          <w:t>http</w:t>
        </w:r>
        <w:r w:rsidRPr="00F058DC">
          <w:rPr>
            <w:rStyle w:val="Hyperlink"/>
            <w:color w:val="auto"/>
            <w:u w:val="none"/>
            <w:lang w:val="ru-RU"/>
          </w:rPr>
          <w:t>://</w:t>
        </w:r>
        <w:r w:rsidRPr="00AF5ACE">
          <w:rPr>
            <w:rStyle w:val="Hyperlink"/>
            <w:color w:val="auto"/>
            <w:u w:val="none"/>
          </w:rPr>
          <w:t>www</w:t>
        </w:r>
        <w:r w:rsidRPr="00F058DC">
          <w:rPr>
            <w:rStyle w:val="Hyperlink"/>
            <w:color w:val="auto"/>
            <w:u w:val="none"/>
            <w:lang w:val="ru-RU"/>
          </w:rPr>
          <w:t>.</w:t>
        </w:r>
        <w:r w:rsidRPr="00AF5ACE">
          <w:rPr>
            <w:rStyle w:val="Hyperlink"/>
            <w:color w:val="auto"/>
            <w:u w:val="none"/>
          </w:rPr>
          <w:t>who</w:t>
        </w:r>
        <w:r w:rsidRPr="00F058DC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AF5ACE">
          <w:rPr>
            <w:rStyle w:val="Hyperlink"/>
            <w:color w:val="auto"/>
            <w:u w:val="none"/>
          </w:rPr>
          <w:t>int</w:t>
        </w:r>
        <w:proofErr w:type="spellEnd"/>
        <w:r w:rsidRPr="00F058DC">
          <w:rPr>
            <w:rStyle w:val="Hyperlink"/>
            <w:color w:val="auto"/>
            <w:u w:val="none"/>
            <w:lang w:val="ru-RU"/>
          </w:rPr>
          <w:t>/</w:t>
        </w:r>
        <w:r w:rsidRPr="00AF5ACE">
          <w:rPr>
            <w:rStyle w:val="Hyperlink"/>
            <w:color w:val="auto"/>
            <w:u w:val="none"/>
          </w:rPr>
          <w:t>maternal</w:t>
        </w:r>
        <w:r w:rsidRPr="00F058DC">
          <w:rPr>
            <w:rStyle w:val="Hyperlink"/>
            <w:color w:val="auto"/>
            <w:u w:val="none"/>
            <w:lang w:val="ru-RU"/>
          </w:rPr>
          <w:t>_</w:t>
        </w:r>
        <w:r w:rsidRPr="00AF5ACE">
          <w:rPr>
            <w:rStyle w:val="Hyperlink"/>
            <w:color w:val="auto"/>
            <w:u w:val="none"/>
          </w:rPr>
          <w:t>child</w:t>
        </w:r>
        <w:r w:rsidRPr="00F058DC">
          <w:rPr>
            <w:rStyle w:val="Hyperlink"/>
            <w:color w:val="auto"/>
            <w:u w:val="none"/>
            <w:lang w:val="ru-RU"/>
          </w:rPr>
          <w:t>_</w:t>
        </w:r>
        <w:r w:rsidRPr="00AF5ACE">
          <w:rPr>
            <w:rStyle w:val="Hyperlink"/>
            <w:color w:val="auto"/>
            <w:u w:val="none"/>
          </w:rPr>
          <w:t>adolescent</w:t>
        </w:r>
        <w:r w:rsidRPr="00F058DC">
          <w:rPr>
            <w:rStyle w:val="Hyperlink"/>
            <w:color w:val="auto"/>
            <w:u w:val="none"/>
            <w:lang w:val="ru-RU"/>
          </w:rPr>
          <w:t>/</w:t>
        </w:r>
        <w:r w:rsidRPr="00AF5ACE">
          <w:rPr>
            <w:rStyle w:val="Hyperlink"/>
            <w:color w:val="auto"/>
            <w:u w:val="none"/>
          </w:rPr>
          <w:t>topics</w:t>
        </w:r>
        <w:r w:rsidRPr="00F058DC">
          <w:rPr>
            <w:rStyle w:val="Hyperlink"/>
            <w:color w:val="auto"/>
            <w:u w:val="none"/>
            <w:lang w:val="ru-RU"/>
          </w:rPr>
          <w:t>/</w:t>
        </w:r>
        <w:r w:rsidRPr="00AF5ACE">
          <w:rPr>
            <w:rStyle w:val="Hyperlink"/>
            <w:color w:val="auto"/>
            <w:u w:val="none"/>
          </w:rPr>
          <w:t>adolescence</w:t>
        </w:r>
        <w:r w:rsidRPr="00F058DC">
          <w:rPr>
            <w:rStyle w:val="Hyperlink"/>
            <w:color w:val="auto"/>
            <w:u w:val="none"/>
            <w:lang w:val="ru-RU"/>
          </w:rPr>
          <w:t>/</w:t>
        </w:r>
        <w:r w:rsidRPr="00AF5ACE">
          <w:rPr>
            <w:rStyle w:val="Hyperlink"/>
            <w:color w:val="auto"/>
            <w:u w:val="none"/>
          </w:rPr>
          <w:t>dev</w:t>
        </w:r>
        <w:r w:rsidRPr="00F058DC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AF5ACE">
          <w:rPr>
            <w:rStyle w:val="Hyperlink"/>
            <w:color w:val="auto"/>
            <w:u w:val="none"/>
          </w:rPr>
          <w:t>en</w:t>
        </w:r>
        <w:proofErr w:type="spellEnd"/>
        <w:r w:rsidRPr="00F058DC">
          <w:rPr>
            <w:rStyle w:val="Hyperlink"/>
            <w:color w:val="auto"/>
            <w:u w:val="none"/>
            <w:lang w:val="ru-RU"/>
          </w:rPr>
          <w:t>/</w:t>
        </w:r>
      </w:hyperlink>
      <w:r w:rsidRPr="00F058DC">
        <w:rPr>
          <w:lang w:val="ru-RU"/>
        </w:rPr>
        <w:t>.</w:t>
      </w:r>
    </w:p>
  </w:footnote>
  <w:footnote w:id="2">
    <w:p w:rsidR="00202681" w:rsidRPr="00202681" w:rsidRDefault="00202681" w:rsidP="00202681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 w:rsidRPr="00F058DC">
        <w:rPr>
          <w:lang w:val="ru-RU"/>
        </w:rPr>
        <w:tab/>
      </w:r>
      <w:r w:rsidRPr="00202681">
        <w:rPr>
          <w:rStyle w:val="FootnoteReference"/>
          <w:lang w:val="uk-UA"/>
        </w:rPr>
        <w:footnoteRef/>
      </w:r>
      <w:r>
        <w:rPr>
          <w:lang w:val="uk-UA"/>
        </w:rPr>
        <w:tab/>
        <w:t>Див. Комі</w:t>
      </w:r>
      <w:r w:rsidRPr="00202681">
        <w:rPr>
          <w:lang w:val="uk-UA"/>
        </w:rPr>
        <w:t xml:space="preserve">тет </w:t>
      </w:r>
      <w:r>
        <w:rPr>
          <w:lang w:val="uk-UA"/>
        </w:rPr>
        <w:t xml:space="preserve">з прав дитини, Зауваження загального порядку </w:t>
      </w:r>
      <w:r w:rsidRPr="00202681">
        <w:rPr>
          <w:lang w:val="uk-UA"/>
        </w:rPr>
        <w:t xml:space="preserve">№ 7 (2005) </w:t>
      </w:r>
      <w:r>
        <w:rPr>
          <w:lang w:val="uk-UA"/>
        </w:rPr>
        <w:t xml:space="preserve">про реалізацію прав дитини в ранньому дитинстві, </w:t>
      </w:r>
      <w:r w:rsidRPr="00202681">
        <w:rPr>
          <w:lang w:val="uk-UA"/>
        </w:rPr>
        <w:t>пункт 8.</w:t>
      </w:r>
    </w:p>
  </w:footnote>
  <w:footnote w:id="3">
    <w:p w:rsidR="000A6171" w:rsidRPr="000A6171" w:rsidRDefault="000A6171" w:rsidP="000A6171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>
        <w:rPr>
          <w:lang w:val="ru-RU"/>
        </w:rPr>
        <w:tab/>
      </w:r>
      <w:r w:rsidRPr="000A6171">
        <w:rPr>
          <w:rStyle w:val="FootnoteReference"/>
          <w:lang w:val="uk-UA"/>
        </w:rPr>
        <w:footnoteRef/>
      </w:r>
      <w:r w:rsidRPr="000A6171">
        <w:rPr>
          <w:lang w:val="uk-UA"/>
        </w:rPr>
        <w:tab/>
        <w:t>Там же, пункт 17.</w:t>
      </w:r>
    </w:p>
  </w:footnote>
  <w:footnote w:id="4">
    <w:p w:rsidR="00650A8C" w:rsidRPr="000A6171" w:rsidRDefault="00650A8C" w:rsidP="00A007F8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 w:rsidRPr="000A6171">
        <w:rPr>
          <w:lang w:val="uk-UA"/>
        </w:rPr>
        <w:tab/>
      </w:r>
      <w:r w:rsidRPr="000A6171">
        <w:rPr>
          <w:rStyle w:val="FootnoteReference"/>
          <w:lang w:val="uk-UA"/>
        </w:rPr>
        <w:footnoteRef/>
      </w:r>
      <w:r w:rsidR="000A6171">
        <w:rPr>
          <w:lang w:val="uk-UA"/>
        </w:rPr>
        <w:tab/>
        <w:t xml:space="preserve">Див. також зауваження загального порядку </w:t>
      </w:r>
      <w:r w:rsidRPr="000A6171">
        <w:rPr>
          <w:lang w:val="uk-UA"/>
        </w:rPr>
        <w:t xml:space="preserve">№ 12 (2009 год) </w:t>
      </w:r>
      <w:r w:rsidR="000A6171">
        <w:rPr>
          <w:lang w:val="uk-UA"/>
        </w:rPr>
        <w:t>про право дитини бути почутою</w:t>
      </w:r>
      <w:r w:rsidRPr="000A6171">
        <w:rPr>
          <w:lang w:val="uk-UA"/>
        </w:rPr>
        <w:t>, пункт 84.</w:t>
      </w:r>
    </w:p>
  </w:footnote>
  <w:footnote w:id="5">
    <w:p w:rsidR="00CC1708" w:rsidRPr="000A6171" w:rsidRDefault="00CC1708" w:rsidP="00CC1708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 w:rsidRPr="000A6171">
        <w:rPr>
          <w:lang w:val="uk-UA"/>
        </w:rPr>
        <w:tab/>
      </w:r>
      <w:r w:rsidRPr="000A6171">
        <w:rPr>
          <w:rStyle w:val="FootnoteReference"/>
          <w:lang w:val="uk-UA"/>
        </w:rPr>
        <w:footnoteRef/>
      </w:r>
      <w:r>
        <w:rPr>
          <w:lang w:val="uk-UA"/>
        </w:rPr>
        <w:tab/>
        <w:t xml:space="preserve">Див., наприклад, статті </w:t>
      </w:r>
      <w:r w:rsidRPr="000A6171">
        <w:rPr>
          <w:lang w:val="uk-UA"/>
        </w:rPr>
        <w:t>32–39 Конвенц</w:t>
      </w:r>
      <w:r>
        <w:rPr>
          <w:lang w:val="uk-UA"/>
        </w:rPr>
        <w:t>ії</w:t>
      </w:r>
      <w:r w:rsidRPr="000A6171">
        <w:rPr>
          <w:lang w:val="uk-UA"/>
        </w:rPr>
        <w:t>.</w:t>
      </w:r>
    </w:p>
  </w:footnote>
  <w:footnote w:id="6">
    <w:p w:rsidR="002A5478" w:rsidRPr="00DD4E82" w:rsidRDefault="002A5478" w:rsidP="002A5478">
      <w:pPr>
        <w:pStyle w:val="FootnoteText"/>
        <w:widowControl w:val="0"/>
        <w:tabs>
          <w:tab w:val="clear" w:pos="1021"/>
          <w:tab w:val="right" w:pos="1020"/>
        </w:tabs>
        <w:rPr>
          <w:lang w:val="en-US"/>
        </w:rPr>
      </w:pPr>
      <w:r w:rsidRPr="000A6171">
        <w:rPr>
          <w:lang w:val="uk-UA"/>
        </w:rPr>
        <w:tab/>
      </w:r>
      <w:r w:rsidRPr="000A6171">
        <w:rPr>
          <w:rStyle w:val="FootnoteReference"/>
          <w:lang w:val="uk-UA"/>
        </w:rPr>
        <w:footnoteRef/>
      </w:r>
      <w:r w:rsidRPr="000A6171">
        <w:rPr>
          <w:lang w:val="uk-UA"/>
        </w:rPr>
        <w:tab/>
      </w:r>
      <w:r>
        <w:rPr>
          <w:lang w:val="uk-UA"/>
        </w:rPr>
        <w:t xml:space="preserve">Див. </w:t>
      </w:r>
      <w:hyperlink r:id="rId2" w:history="1">
        <w:r w:rsidRPr="000A6171">
          <w:rPr>
            <w:rStyle w:val="Hyperlink"/>
            <w:color w:val="auto"/>
            <w:u w:val="none"/>
            <w:lang w:val="uk-UA"/>
          </w:rPr>
          <w:t>www2.ohchr.org/english/issues/women/rapporteur/docs/15YearReviewof VAWMandate.pdf</w:t>
        </w:r>
      </w:hyperlink>
      <w:r w:rsidRPr="000A6171">
        <w:rPr>
          <w:lang w:val="uk-UA"/>
        </w:rPr>
        <w:t>.</w:t>
      </w:r>
    </w:p>
  </w:footnote>
  <w:footnote w:id="7">
    <w:p w:rsidR="002A5478" w:rsidRPr="002A5478" w:rsidRDefault="002A5478" w:rsidP="002A5478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 w:rsidRPr="00DD4E82">
        <w:rPr>
          <w:lang w:val="en-US"/>
        </w:rPr>
        <w:tab/>
      </w:r>
      <w:r w:rsidRPr="002A5478">
        <w:rPr>
          <w:rStyle w:val="FootnoteReference"/>
          <w:lang w:val="uk-UA"/>
        </w:rPr>
        <w:footnoteRef/>
      </w:r>
      <w:r w:rsidRPr="002A5478">
        <w:rPr>
          <w:lang w:val="uk-UA"/>
        </w:rPr>
        <w:tab/>
        <w:t>Див. зауваження загального порядку № 5 (2003) про загальні заходи з реалізації Конвенції про права дитини, пункт 12.</w:t>
      </w:r>
    </w:p>
  </w:footnote>
  <w:footnote w:id="8">
    <w:p w:rsidR="00650A8C" w:rsidRPr="002A5478" w:rsidRDefault="00650A8C" w:rsidP="00A007F8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>
        <w:rPr>
          <w:lang w:val="ru-RU"/>
        </w:rPr>
        <w:tab/>
      </w:r>
      <w:r w:rsidRPr="002A5478">
        <w:rPr>
          <w:rStyle w:val="FootnoteReference"/>
          <w:lang w:val="uk-UA"/>
        </w:rPr>
        <w:footnoteRef/>
      </w:r>
      <w:r w:rsidR="002A5478">
        <w:rPr>
          <w:lang w:val="uk-UA"/>
        </w:rPr>
        <w:tab/>
        <w:t xml:space="preserve">Див. Комітет з прав людини, зауваження загального порядку </w:t>
      </w:r>
      <w:r w:rsidRPr="002A5478">
        <w:rPr>
          <w:lang w:val="uk-UA"/>
        </w:rPr>
        <w:t xml:space="preserve">№ 18 (1989) </w:t>
      </w:r>
      <w:r w:rsidR="002A5478">
        <w:rPr>
          <w:lang w:val="uk-UA"/>
        </w:rPr>
        <w:t>про недискримінацію</w:t>
      </w:r>
      <w:r w:rsidRPr="002A5478">
        <w:rPr>
          <w:lang w:val="uk-UA"/>
        </w:rPr>
        <w:t>, пункт 147.</w:t>
      </w:r>
    </w:p>
  </w:footnote>
  <w:footnote w:id="9">
    <w:p w:rsidR="00CF7341" w:rsidRPr="002A5478" w:rsidRDefault="00CF7341" w:rsidP="00CF7341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 w:rsidRPr="002A5478">
        <w:rPr>
          <w:lang w:val="uk-UA"/>
        </w:rPr>
        <w:tab/>
      </w:r>
      <w:r w:rsidRPr="002A5478">
        <w:rPr>
          <w:rStyle w:val="FootnoteReference"/>
          <w:lang w:val="uk-UA"/>
        </w:rPr>
        <w:footnoteRef/>
      </w:r>
      <w:r>
        <w:rPr>
          <w:lang w:val="uk-UA"/>
        </w:rPr>
        <w:tab/>
        <w:t>Див. Комі</w:t>
      </w:r>
      <w:r w:rsidRPr="002A5478">
        <w:rPr>
          <w:lang w:val="uk-UA"/>
        </w:rPr>
        <w:t xml:space="preserve">тет </w:t>
      </w:r>
      <w:r>
        <w:rPr>
          <w:lang w:val="uk-UA"/>
        </w:rPr>
        <w:t xml:space="preserve">з прав дитини, зауваження загального порядку </w:t>
      </w:r>
      <w:r w:rsidRPr="002A5478">
        <w:rPr>
          <w:lang w:val="uk-UA"/>
        </w:rPr>
        <w:t xml:space="preserve">№ 14 (2013) </w:t>
      </w:r>
      <w:r>
        <w:rPr>
          <w:lang w:val="uk-UA"/>
        </w:rPr>
        <w:t>про право дитини на першочергову увагу до якнайкращого забезпечення її інтересів</w:t>
      </w:r>
      <w:r w:rsidRPr="002A5478">
        <w:rPr>
          <w:lang w:val="uk-UA"/>
        </w:rPr>
        <w:t>, пункт 6.</w:t>
      </w:r>
    </w:p>
  </w:footnote>
  <w:footnote w:id="10">
    <w:p w:rsidR="00CF7341" w:rsidRPr="002A5478" w:rsidRDefault="00CF7341" w:rsidP="00CF7341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 w:rsidRPr="002A5478">
        <w:rPr>
          <w:lang w:val="uk-UA"/>
        </w:rPr>
        <w:tab/>
      </w:r>
      <w:r w:rsidRPr="002A5478">
        <w:rPr>
          <w:rStyle w:val="FootnoteReference"/>
          <w:lang w:val="uk-UA"/>
        </w:rPr>
        <w:footnoteRef/>
      </w:r>
      <w:r>
        <w:rPr>
          <w:lang w:val="uk-UA"/>
        </w:rPr>
        <w:tab/>
        <w:t>Див. зауваження загального порядку № 12, пункти</w:t>
      </w:r>
      <w:r w:rsidRPr="002A5478">
        <w:rPr>
          <w:lang w:val="uk-UA"/>
        </w:rPr>
        <w:t xml:space="preserve"> 70–74,</w:t>
      </w:r>
      <w:r>
        <w:rPr>
          <w:lang w:val="uk-UA"/>
        </w:rPr>
        <w:t xml:space="preserve"> та № 14, пункти</w:t>
      </w:r>
      <w:r w:rsidRPr="002A5478">
        <w:rPr>
          <w:lang w:val="uk-UA"/>
        </w:rPr>
        <w:t xml:space="preserve"> 43–45.</w:t>
      </w:r>
    </w:p>
  </w:footnote>
  <w:footnote w:id="11">
    <w:p w:rsidR="005F4DA4" w:rsidRPr="00314BF1" w:rsidRDefault="005F4DA4" w:rsidP="005F4DA4">
      <w:pPr>
        <w:pStyle w:val="FootnoteText"/>
        <w:widowControl w:val="0"/>
        <w:tabs>
          <w:tab w:val="clear" w:pos="1021"/>
          <w:tab w:val="right" w:pos="1020"/>
        </w:tabs>
        <w:rPr>
          <w:lang w:val="ru-RU"/>
        </w:rPr>
      </w:pPr>
      <w:r w:rsidRPr="002A5478">
        <w:rPr>
          <w:lang w:val="uk-UA"/>
        </w:rPr>
        <w:tab/>
      </w:r>
      <w:r w:rsidRPr="002A5478">
        <w:rPr>
          <w:rStyle w:val="FootnoteReference"/>
          <w:lang w:val="uk-UA"/>
        </w:rPr>
        <w:footnoteRef/>
      </w:r>
      <w:r w:rsidRPr="002A5478">
        <w:rPr>
          <w:lang w:val="uk-UA"/>
        </w:rPr>
        <w:tab/>
      </w:r>
      <w:r>
        <w:rPr>
          <w:lang w:val="uk-UA"/>
        </w:rPr>
        <w:t xml:space="preserve">Див. зауваження загального порядку </w:t>
      </w:r>
      <w:r w:rsidRPr="002A5478">
        <w:rPr>
          <w:lang w:val="uk-UA"/>
        </w:rPr>
        <w:t>№ 12, пункт 27.</w:t>
      </w:r>
    </w:p>
  </w:footnote>
  <w:footnote w:id="12">
    <w:p w:rsidR="00C46FC3" w:rsidRPr="000F4FAF" w:rsidRDefault="00C46FC3" w:rsidP="00C46FC3">
      <w:pPr>
        <w:pStyle w:val="FootnoteText"/>
        <w:widowControl w:val="0"/>
        <w:tabs>
          <w:tab w:val="clear" w:pos="1021"/>
          <w:tab w:val="right" w:pos="1020"/>
        </w:tabs>
        <w:rPr>
          <w:lang w:val="ru-RU"/>
        </w:rPr>
      </w:pPr>
      <w:r>
        <w:rPr>
          <w:lang w:val="ru-RU"/>
        </w:rPr>
        <w:tab/>
      </w:r>
      <w:r w:rsidRPr="007A2B82">
        <w:rPr>
          <w:rStyle w:val="FootnoteReference"/>
          <w:lang w:val="ru-RU"/>
        </w:rPr>
        <w:footnoteRef/>
      </w:r>
      <w:r>
        <w:rPr>
          <w:lang w:val="ru-RU"/>
        </w:rPr>
        <w:tab/>
        <w:t>Див. A/</w:t>
      </w:r>
      <w:proofErr w:type="spellStart"/>
      <w:r>
        <w:rPr>
          <w:lang w:val="ru-RU"/>
        </w:rPr>
        <w:t>HRC</w:t>
      </w:r>
      <w:proofErr w:type="spellEnd"/>
      <w:r>
        <w:rPr>
          <w:lang w:val="ru-RU"/>
        </w:rPr>
        <w:t>/26/22, пункт 21.</w:t>
      </w:r>
    </w:p>
  </w:footnote>
  <w:footnote w:id="13">
    <w:p w:rsidR="0009110F" w:rsidRPr="0009110F" w:rsidRDefault="0009110F" w:rsidP="0009110F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>
        <w:rPr>
          <w:lang w:val="ru-RU"/>
        </w:rPr>
        <w:tab/>
      </w:r>
      <w:r w:rsidRPr="0009110F">
        <w:rPr>
          <w:rStyle w:val="FootnoteReference"/>
          <w:lang w:val="uk-UA"/>
        </w:rPr>
        <w:footnoteRef/>
      </w:r>
      <w:r>
        <w:rPr>
          <w:lang w:val="uk-UA"/>
        </w:rPr>
        <w:tab/>
        <w:t xml:space="preserve">Див. зауваження загального порядку </w:t>
      </w:r>
      <w:r w:rsidRPr="0009110F">
        <w:rPr>
          <w:lang w:val="uk-UA"/>
        </w:rPr>
        <w:t xml:space="preserve">№ 9 (2006) </w:t>
      </w:r>
      <w:r>
        <w:rPr>
          <w:lang w:val="uk-UA"/>
        </w:rPr>
        <w:t>про права дітей з інвалідністю, пункти</w:t>
      </w:r>
      <w:r w:rsidRPr="0009110F">
        <w:rPr>
          <w:lang w:val="uk-UA"/>
        </w:rPr>
        <w:t xml:space="preserve"> 8–10.</w:t>
      </w:r>
    </w:p>
  </w:footnote>
  <w:footnote w:id="14">
    <w:p w:rsidR="0009110F" w:rsidRPr="0009110F" w:rsidRDefault="0009110F" w:rsidP="0009110F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 w:rsidRPr="0009110F">
        <w:rPr>
          <w:lang w:val="uk-UA"/>
        </w:rPr>
        <w:tab/>
      </w:r>
      <w:r w:rsidRPr="0009110F">
        <w:rPr>
          <w:rStyle w:val="FootnoteReference"/>
          <w:lang w:val="uk-UA"/>
        </w:rPr>
        <w:footnoteRef/>
      </w:r>
      <w:r w:rsidRPr="0009110F">
        <w:rPr>
          <w:lang w:val="uk-UA"/>
        </w:rPr>
        <w:tab/>
      </w:r>
      <w:r>
        <w:rPr>
          <w:lang w:val="uk-UA"/>
        </w:rPr>
        <w:t xml:space="preserve">Див. </w:t>
      </w:r>
      <w:r w:rsidRPr="0009110F">
        <w:rPr>
          <w:lang w:val="uk-UA"/>
        </w:rPr>
        <w:t>A/</w:t>
      </w:r>
      <w:proofErr w:type="spellStart"/>
      <w:r w:rsidRPr="0009110F">
        <w:rPr>
          <w:lang w:val="uk-UA"/>
        </w:rPr>
        <w:t>HRC</w:t>
      </w:r>
      <w:proofErr w:type="spellEnd"/>
      <w:r w:rsidRPr="0009110F">
        <w:rPr>
          <w:lang w:val="uk-UA"/>
        </w:rPr>
        <w:t xml:space="preserve">/22/53. </w:t>
      </w:r>
    </w:p>
  </w:footnote>
  <w:footnote w:id="15">
    <w:p w:rsidR="00650A8C" w:rsidRPr="0009110F" w:rsidRDefault="00650A8C" w:rsidP="00A007F8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 w:rsidRPr="0009110F">
        <w:rPr>
          <w:lang w:val="uk-UA"/>
        </w:rPr>
        <w:tab/>
      </w:r>
      <w:r w:rsidRPr="0009110F">
        <w:rPr>
          <w:rStyle w:val="FootnoteReference"/>
          <w:lang w:val="uk-UA"/>
        </w:rPr>
        <w:footnoteRef/>
      </w:r>
      <w:r w:rsidRPr="0009110F">
        <w:rPr>
          <w:lang w:val="uk-UA"/>
        </w:rPr>
        <w:tab/>
      </w:r>
      <w:r w:rsidR="0009110F">
        <w:rPr>
          <w:lang w:val="uk-UA"/>
        </w:rPr>
        <w:t>Див.</w:t>
      </w:r>
      <w:r w:rsidRPr="0009110F">
        <w:rPr>
          <w:lang w:val="uk-UA"/>
        </w:rPr>
        <w:t xml:space="preserve"> A/66/230, </w:t>
      </w:r>
      <w:r w:rsidR="0009110F">
        <w:rPr>
          <w:lang w:val="uk-UA"/>
        </w:rPr>
        <w:t>пункти</w:t>
      </w:r>
      <w:r w:rsidRPr="0009110F">
        <w:rPr>
          <w:lang w:val="uk-UA"/>
        </w:rPr>
        <w:t xml:space="preserve"> 44–49.</w:t>
      </w:r>
    </w:p>
  </w:footnote>
  <w:footnote w:id="16">
    <w:p w:rsidR="004D017F" w:rsidRPr="0009110F" w:rsidRDefault="004D017F" w:rsidP="004D017F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 w:rsidRPr="0009110F">
        <w:rPr>
          <w:lang w:val="uk-UA"/>
        </w:rPr>
        <w:tab/>
      </w:r>
      <w:r w:rsidRPr="0009110F">
        <w:rPr>
          <w:rStyle w:val="FootnoteReference"/>
          <w:lang w:val="uk-UA"/>
        </w:rPr>
        <w:footnoteRef/>
      </w:r>
      <w:r>
        <w:rPr>
          <w:lang w:val="uk-UA"/>
        </w:rPr>
        <w:tab/>
        <w:t xml:space="preserve">Див. заяву Комітету з прав дитини та інших агенцій </w:t>
      </w:r>
      <w:r w:rsidRPr="0009110F">
        <w:rPr>
          <w:lang w:val="uk-UA"/>
        </w:rPr>
        <w:t>Організації Об</w:t>
      </w:r>
      <w:r>
        <w:rPr>
          <w:lang w:val="uk-UA"/>
        </w:rPr>
        <w:t xml:space="preserve">’єднаних </w:t>
      </w:r>
      <w:r w:rsidRPr="0009110F">
        <w:rPr>
          <w:lang w:val="uk-UA"/>
        </w:rPr>
        <w:t xml:space="preserve">Націй </w:t>
      </w:r>
      <w:r>
        <w:rPr>
          <w:lang w:val="uk-UA"/>
        </w:rPr>
        <w:t>і регіональни</w:t>
      </w:r>
      <w:r w:rsidRPr="0009110F">
        <w:rPr>
          <w:lang w:val="uk-UA"/>
        </w:rPr>
        <w:t xml:space="preserve">х механізмів </w:t>
      </w:r>
      <w:r>
        <w:rPr>
          <w:lang w:val="uk-UA"/>
        </w:rPr>
        <w:t xml:space="preserve">з прав людини від 13 травня </w:t>
      </w:r>
      <w:r w:rsidRPr="0009110F">
        <w:rPr>
          <w:lang w:val="uk-UA"/>
        </w:rPr>
        <w:t>2015 </w:t>
      </w:r>
      <w:r>
        <w:rPr>
          <w:lang w:val="uk-UA"/>
        </w:rPr>
        <w:t>року, доступна</w:t>
      </w:r>
      <w:r w:rsidRPr="0009110F">
        <w:rPr>
          <w:lang w:val="uk-UA"/>
        </w:rPr>
        <w:t xml:space="preserve"> </w:t>
      </w:r>
      <w:r>
        <w:rPr>
          <w:lang w:val="uk-UA"/>
        </w:rPr>
        <w:t xml:space="preserve">за </w:t>
      </w:r>
      <w:r w:rsidR="002B4F97">
        <w:rPr>
          <w:lang w:val="uk-UA"/>
        </w:rPr>
        <w:t>посиланням</w:t>
      </w:r>
      <w:r>
        <w:rPr>
          <w:lang w:val="uk-UA"/>
        </w:rPr>
        <w:t xml:space="preserve"> </w:t>
      </w:r>
      <w:hyperlink r:id="rId3" w:history="1">
        <w:r w:rsidRPr="0009110F">
          <w:rPr>
            <w:rStyle w:val="Hyperlink"/>
            <w:color w:val="auto"/>
            <w:u w:val="none"/>
            <w:lang w:val="uk-UA"/>
          </w:rPr>
          <w:t xml:space="preserve">http://www.ohchr.org/EN/NewsEvents/Pages/DisplayNews.aspx? </w:t>
        </w:r>
        <w:proofErr w:type="spellStart"/>
        <w:r w:rsidRPr="0009110F">
          <w:rPr>
            <w:rStyle w:val="Hyperlink"/>
            <w:color w:val="auto"/>
            <w:u w:val="none"/>
            <w:lang w:val="uk-UA"/>
          </w:rPr>
          <w:t>NewsID</w:t>
        </w:r>
        <w:proofErr w:type="spellEnd"/>
        <w:r w:rsidRPr="0009110F">
          <w:rPr>
            <w:rStyle w:val="Hyperlink"/>
            <w:color w:val="auto"/>
            <w:u w:val="none"/>
            <w:lang w:val="uk-UA"/>
          </w:rPr>
          <w:t>=15941&amp;LangID=E</w:t>
        </w:r>
      </w:hyperlink>
      <w:r w:rsidRPr="0009110F">
        <w:rPr>
          <w:lang w:val="uk-UA"/>
        </w:rPr>
        <w:t>.</w:t>
      </w:r>
    </w:p>
  </w:footnote>
  <w:footnote w:id="17">
    <w:p w:rsidR="00650A8C" w:rsidRPr="000F4FAF" w:rsidRDefault="00650A8C" w:rsidP="00A007F8">
      <w:pPr>
        <w:pStyle w:val="FootnoteText"/>
        <w:widowControl w:val="0"/>
        <w:tabs>
          <w:tab w:val="clear" w:pos="1021"/>
          <w:tab w:val="right" w:pos="1020"/>
        </w:tabs>
        <w:rPr>
          <w:lang w:val="ru-RU"/>
        </w:rPr>
      </w:pPr>
      <w:r w:rsidRPr="0009110F">
        <w:rPr>
          <w:lang w:val="uk-UA"/>
        </w:rPr>
        <w:tab/>
      </w:r>
      <w:r w:rsidRPr="0009110F">
        <w:rPr>
          <w:rStyle w:val="FootnoteReference"/>
          <w:lang w:val="uk-UA"/>
        </w:rPr>
        <w:footnoteRef/>
      </w:r>
      <w:r w:rsidRPr="0009110F">
        <w:rPr>
          <w:lang w:val="uk-UA"/>
        </w:rPr>
        <w:tab/>
      </w:r>
      <w:r w:rsidR="00EA1470" w:rsidRPr="0009110F">
        <w:rPr>
          <w:lang w:val="uk-UA"/>
        </w:rPr>
        <w:t>Т</w:t>
      </w:r>
      <w:r w:rsidR="00EA1470">
        <w:rPr>
          <w:lang w:val="uk-UA"/>
        </w:rPr>
        <w:t>ам</w:t>
      </w:r>
      <w:r w:rsidR="004D017F">
        <w:rPr>
          <w:lang w:val="uk-UA"/>
        </w:rPr>
        <w:t xml:space="preserve"> же</w:t>
      </w:r>
      <w:r w:rsidRPr="0009110F">
        <w:rPr>
          <w:lang w:val="uk-UA"/>
        </w:rPr>
        <w:t>.</w:t>
      </w:r>
    </w:p>
  </w:footnote>
  <w:footnote w:id="18">
    <w:p w:rsidR="00650A8C" w:rsidRPr="00246CF6" w:rsidRDefault="00650A8C" w:rsidP="00A007F8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 w:rsidRPr="00246CF6">
        <w:rPr>
          <w:lang w:val="uk-UA"/>
        </w:rPr>
        <w:tab/>
      </w:r>
      <w:r w:rsidRPr="00246CF6">
        <w:rPr>
          <w:rStyle w:val="FootnoteReference"/>
          <w:lang w:val="uk-UA"/>
        </w:rPr>
        <w:footnoteRef/>
      </w:r>
      <w:r w:rsidR="00246CF6">
        <w:rPr>
          <w:lang w:val="uk-UA"/>
        </w:rPr>
        <w:tab/>
        <w:t xml:space="preserve">Див. зауваження загального порядку </w:t>
      </w:r>
      <w:r w:rsidRPr="00246CF6">
        <w:rPr>
          <w:lang w:val="uk-UA"/>
        </w:rPr>
        <w:t>№ 12, пункт 101.</w:t>
      </w:r>
    </w:p>
  </w:footnote>
  <w:footnote w:id="19">
    <w:p w:rsidR="00650A8C" w:rsidRPr="002B4F97" w:rsidRDefault="00650A8C" w:rsidP="00A007F8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>
        <w:rPr>
          <w:lang w:val="ru-RU"/>
        </w:rPr>
        <w:tab/>
      </w:r>
      <w:r w:rsidRPr="002B4F97">
        <w:rPr>
          <w:rStyle w:val="FootnoteReference"/>
          <w:lang w:val="uk-UA"/>
        </w:rPr>
        <w:footnoteRef/>
      </w:r>
      <w:r w:rsidR="002B4F97">
        <w:rPr>
          <w:lang w:val="uk-UA"/>
        </w:rPr>
        <w:tab/>
        <w:t xml:space="preserve">Див., наприклад, </w:t>
      </w:r>
      <w:proofErr w:type="spellStart"/>
      <w:r w:rsidR="002B4F97">
        <w:rPr>
          <w:lang w:val="uk-UA"/>
        </w:rPr>
        <w:t>CRC</w:t>
      </w:r>
      <w:proofErr w:type="spellEnd"/>
      <w:r w:rsidR="002B4F97">
        <w:rPr>
          <w:lang w:val="uk-UA"/>
        </w:rPr>
        <w:t xml:space="preserve">/C/15/Add.194, пункти 32 і 33, та </w:t>
      </w:r>
      <w:proofErr w:type="spellStart"/>
      <w:r w:rsidR="002B4F97">
        <w:rPr>
          <w:lang w:val="uk-UA"/>
        </w:rPr>
        <w:t>CRC</w:t>
      </w:r>
      <w:proofErr w:type="spellEnd"/>
      <w:r w:rsidR="002B4F97">
        <w:rPr>
          <w:lang w:val="uk-UA"/>
        </w:rPr>
        <w:t>/C/15/Add.181, пункти 29 і</w:t>
      </w:r>
      <w:r w:rsidRPr="002B4F97">
        <w:rPr>
          <w:lang w:val="uk-UA"/>
        </w:rPr>
        <w:t> 30.</w:t>
      </w:r>
    </w:p>
  </w:footnote>
  <w:footnote w:id="20">
    <w:p w:rsidR="002B4F97" w:rsidRPr="002B4F97" w:rsidRDefault="002B4F97" w:rsidP="002B4F97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>
        <w:rPr>
          <w:lang w:val="ru-RU"/>
        </w:rPr>
        <w:tab/>
      </w:r>
      <w:r w:rsidRPr="002B4F97">
        <w:rPr>
          <w:rStyle w:val="FootnoteReference"/>
          <w:lang w:val="uk-UA"/>
        </w:rPr>
        <w:footnoteRef/>
      </w:r>
      <w:r w:rsidRPr="002B4F97">
        <w:rPr>
          <w:lang w:val="uk-UA"/>
        </w:rPr>
        <w:tab/>
      </w:r>
      <w:r>
        <w:rPr>
          <w:lang w:val="uk-UA"/>
        </w:rPr>
        <w:t xml:space="preserve">Див. </w:t>
      </w:r>
      <w:r w:rsidRPr="002B4F97">
        <w:t xml:space="preserve">United Nations Children's Fund (UNICEF), </w:t>
      </w:r>
      <w:r w:rsidRPr="002B4F97">
        <w:rPr>
          <w:i/>
        </w:rPr>
        <w:t>Implementation Handbook on the Convention on the Rights of the Child</w:t>
      </w:r>
      <w:r w:rsidRPr="002B4F97">
        <w:t xml:space="preserve"> (2007), </w:t>
      </w:r>
      <w:r>
        <w:rPr>
          <w:lang w:val="uk-UA"/>
        </w:rPr>
        <w:t>с</w:t>
      </w:r>
      <w:r w:rsidRPr="002B4F97">
        <w:t>. 203–211.</w:t>
      </w:r>
      <w:r w:rsidRPr="002B4F97">
        <w:rPr>
          <w:lang w:val="uk-UA"/>
        </w:rPr>
        <w:t xml:space="preserve"> </w:t>
      </w:r>
      <w:r>
        <w:rPr>
          <w:lang w:val="uk-UA"/>
        </w:rPr>
        <w:t>Доступна</w:t>
      </w:r>
      <w:r w:rsidRPr="002B4F97">
        <w:rPr>
          <w:lang w:val="uk-UA"/>
        </w:rPr>
        <w:t xml:space="preserve"> </w:t>
      </w:r>
      <w:r>
        <w:rPr>
          <w:lang w:val="uk-UA"/>
        </w:rPr>
        <w:t>за посиланням</w:t>
      </w:r>
      <w:r w:rsidRPr="002B4F97">
        <w:rPr>
          <w:lang w:val="uk-UA"/>
        </w:rPr>
        <w:t xml:space="preserve"> </w:t>
      </w:r>
      <w:hyperlink r:id="rId4" w:history="1">
        <w:r w:rsidRPr="002B4F97">
          <w:rPr>
            <w:rStyle w:val="Hyperlink"/>
            <w:color w:val="auto"/>
            <w:u w:val="none"/>
            <w:lang w:val="uk-UA"/>
          </w:rPr>
          <w:t>www.unicef.org/publications/files/Implementation_Handbook_for_the_Convention_on_the_Rights_of_the_Child_Part_1_of_3.pdf</w:t>
        </w:r>
      </w:hyperlink>
      <w:r w:rsidRPr="002B4F97">
        <w:rPr>
          <w:lang w:val="uk-UA"/>
        </w:rPr>
        <w:t xml:space="preserve">. </w:t>
      </w:r>
    </w:p>
  </w:footnote>
  <w:footnote w:id="21">
    <w:p w:rsidR="002B4F97" w:rsidRPr="000F4FAF" w:rsidRDefault="002B4F97" w:rsidP="002B4F97">
      <w:pPr>
        <w:pStyle w:val="FootnoteText"/>
        <w:widowControl w:val="0"/>
        <w:tabs>
          <w:tab w:val="clear" w:pos="1021"/>
          <w:tab w:val="right" w:pos="1020"/>
        </w:tabs>
        <w:rPr>
          <w:lang w:val="ru-RU"/>
        </w:rPr>
      </w:pPr>
      <w:r w:rsidRPr="002B4F97">
        <w:rPr>
          <w:lang w:val="uk-UA"/>
        </w:rPr>
        <w:tab/>
      </w:r>
      <w:r w:rsidRPr="002B4F97">
        <w:rPr>
          <w:rStyle w:val="FootnoteReference"/>
          <w:lang w:val="uk-UA"/>
        </w:rPr>
        <w:footnoteRef/>
      </w:r>
      <w:r>
        <w:rPr>
          <w:lang w:val="uk-UA"/>
        </w:rPr>
        <w:tab/>
        <w:t xml:space="preserve">Див. зауваження загального порядку </w:t>
      </w:r>
      <w:r w:rsidRPr="002B4F97">
        <w:rPr>
          <w:lang w:val="uk-UA"/>
        </w:rPr>
        <w:t xml:space="preserve">№ 16 (1988) </w:t>
      </w:r>
      <w:r w:rsidR="006D7B52">
        <w:rPr>
          <w:lang w:val="uk-UA"/>
        </w:rPr>
        <w:t>Комітету з прав людини про недоторканість приватного життя, пункти</w:t>
      </w:r>
      <w:r w:rsidRPr="002B4F97">
        <w:rPr>
          <w:lang w:val="uk-UA"/>
        </w:rPr>
        <w:t xml:space="preserve"> 2–4.</w:t>
      </w:r>
    </w:p>
  </w:footnote>
  <w:footnote w:id="22">
    <w:p w:rsidR="006D7B52" w:rsidRPr="008A079F" w:rsidRDefault="006D7B52" w:rsidP="006D7B52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>
        <w:rPr>
          <w:lang w:val="ru-RU"/>
        </w:rPr>
        <w:tab/>
      </w:r>
      <w:r w:rsidRPr="008A079F">
        <w:rPr>
          <w:rStyle w:val="FootnoteReference"/>
          <w:lang w:val="uk-UA"/>
        </w:rPr>
        <w:footnoteRef/>
      </w:r>
      <w:r w:rsidRPr="008A079F">
        <w:rPr>
          <w:lang w:val="uk-UA"/>
        </w:rPr>
        <w:tab/>
      </w:r>
      <w:r w:rsidR="008A079F">
        <w:rPr>
          <w:lang w:val="uk-UA"/>
        </w:rPr>
        <w:t xml:space="preserve">Обговорення 2014 року див. за посиланням </w:t>
      </w:r>
      <w:r w:rsidRPr="008A079F">
        <w:rPr>
          <w:lang w:val="uk-UA"/>
        </w:rPr>
        <w:t xml:space="preserve">www.ohchr.org/Documents/HRBodies/CRC/Discussions/ 2014/DGD_report.pdf; </w:t>
      </w:r>
      <w:r w:rsidR="008A079F">
        <w:rPr>
          <w:lang w:val="uk-UA"/>
        </w:rPr>
        <w:t xml:space="preserve">Обговорення 1996 року див, за посиланням </w:t>
      </w:r>
      <w:hyperlink r:id="rId5" w:history="1">
        <w:r w:rsidRPr="008A079F">
          <w:rPr>
            <w:rStyle w:val="Hyperlink"/>
            <w:color w:val="auto"/>
            <w:u w:val="none"/>
            <w:lang w:val="uk-UA"/>
          </w:rPr>
          <w:t>www.ohchr.org/Documents/ HRBodies/CRC/Discussions/Recommendations/Recommendations1996.pdf</w:t>
        </w:r>
      </w:hyperlink>
      <w:r w:rsidRPr="008A079F">
        <w:rPr>
          <w:lang w:val="uk-UA"/>
        </w:rPr>
        <w:t>.</w:t>
      </w:r>
    </w:p>
  </w:footnote>
  <w:footnote w:id="23">
    <w:p w:rsidR="00650A8C" w:rsidRPr="000F4FAF" w:rsidRDefault="00650A8C" w:rsidP="00A007F8">
      <w:pPr>
        <w:pStyle w:val="FootnoteText"/>
        <w:widowControl w:val="0"/>
        <w:tabs>
          <w:tab w:val="clear" w:pos="1021"/>
          <w:tab w:val="right" w:pos="1020"/>
        </w:tabs>
        <w:rPr>
          <w:lang w:val="ru-RU"/>
        </w:rPr>
      </w:pPr>
      <w:r w:rsidRPr="008A079F">
        <w:rPr>
          <w:lang w:val="uk-UA"/>
        </w:rPr>
        <w:tab/>
      </w:r>
      <w:r w:rsidRPr="008A079F">
        <w:rPr>
          <w:rStyle w:val="FootnoteReference"/>
          <w:lang w:val="uk-UA"/>
        </w:rPr>
        <w:footnoteRef/>
      </w:r>
      <w:r w:rsidRPr="008A079F">
        <w:rPr>
          <w:lang w:val="uk-UA"/>
        </w:rPr>
        <w:tab/>
      </w:r>
      <w:r w:rsidR="008A079F">
        <w:rPr>
          <w:lang w:val="uk-UA"/>
        </w:rPr>
        <w:t xml:space="preserve">Див. </w:t>
      </w:r>
      <w:hyperlink r:id="rId6" w:history="1">
        <w:r w:rsidRPr="008A079F">
          <w:rPr>
            <w:rStyle w:val="Hyperlink"/>
            <w:color w:val="auto"/>
            <w:u w:val="none"/>
            <w:lang w:val="uk-UA"/>
          </w:rPr>
          <w:t>www.ohchr.org/Documents/HRBodies/CRC/Discussions/2014/DGD_report.pdf</w:t>
        </w:r>
      </w:hyperlink>
      <w:r w:rsidRPr="008A079F">
        <w:rPr>
          <w:lang w:val="uk-UA"/>
        </w:rPr>
        <w:t xml:space="preserve">, </w:t>
      </w:r>
      <w:r w:rsidR="00E66BB2" w:rsidRPr="008A079F">
        <w:rPr>
          <w:lang w:val="uk-UA"/>
        </w:rPr>
        <w:t>пункт</w:t>
      </w:r>
      <w:r w:rsidRPr="008A079F">
        <w:rPr>
          <w:lang w:val="uk-UA"/>
        </w:rPr>
        <w:t> 95.</w:t>
      </w:r>
    </w:p>
  </w:footnote>
  <w:footnote w:id="24">
    <w:p w:rsidR="00650A8C" w:rsidRPr="000F4FAF" w:rsidRDefault="00650A8C" w:rsidP="00A007F8">
      <w:pPr>
        <w:pStyle w:val="FootnoteText"/>
        <w:widowControl w:val="0"/>
        <w:tabs>
          <w:tab w:val="clear" w:pos="1021"/>
          <w:tab w:val="right" w:pos="1020"/>
        </w:tabs>
        <w:rPr>
          <w:lang w:val="ru-RU"/>
        </w:rPr>
      </w:pPr>
      <w:r>
        <w:rPr>
          <w:lang w:val="ru-RU"/>
        </w:rPr>
        <w:tab/>
      </w:r>
      <w:r w:rsidRPr="007A2B82">
        <w:rPr>
          <w:rStyle w:val="FootnoteReference"/>
          <w:lang w:val="ru-RU"/>
        </w:rPr>
        <w:footnoteRef/>
      </w:r>
      <w:r w:rsidR="00712731">
        <w:rPr>
          <w:lang w:val="ru-RU"/>
        </w:rPr>
        <w:tab/>
        <w:t xml:space="preserve">Див. </w:t>
      </w:r>
      <w:r>
        <w:rPr>
          <w:lang w:val="ru-RU"/>
        </w:rPr>
        <w:t>A/</w:t>
      </w:r>
      <w:proofErr w:type="spellStart"/>
      <w:r>
        <w:rPr>
          <w:lang w:val="ru-RU"/>
        </w:rPr>
        <w:t>HRC</w:t>
      </w:r>
      <w:proofErr w:type="spellEnd"/>
      <w:r>
        <w:rPr>
          <w:lang w:val="ru-RU"/>
        </w:rPr>
        <w:t>/32/32.</w:t>
      </w:r>
    </w:p>
  </w:footnote>
  <w:footnote w:id="25">
    <w:p w:rsidR="00650A8C" w:rsidRPr="000F4FAF" w:rsidRDefault="00650A8C" w:rsidP="00A007F8">
      <w:pPr>
        <w:pStyle w:val="EndnoteText"/>
        <w:rPr>
          <w:lang w:val="ru-RU"/>
        </w:rPr>
      </w:pPr>
      <w:r>
        <w:rPr>
          <w:lang w:val="ru-RU"/>
        </w:rPr>
        <w:tab/>
      </w:r>
      <w:r w:rsidRPr="007A2B82">
        <w:rPr>
          <w:rStyle w:val="FootnoteReference"/>
          <w:lang w:val="ru-RU"/>
        </w:rPr>
        <w:footnoteRef/>
      </w:r>
      <w:r>
        <w:rPr>
          <w:lang w:val="ru-RU"/>
        </w:rPr>
        <w:tab/>
      </w:r>
      <w:r w:rsidR="00007DAA">
        <w:rPr>
          <w:lang w:val="uk-UA"/>
        </w:rPr>
        <w:t>Резолюція 64/142 Генеральної Асамблеї, додаток. Див. також Комі</w:t>
      </w:r>
      <w:r w:rsidRPr="00007DAA">
        <w:rPr>
          <w:lang w:val="uk-UA"/>
        </w:rPr>
        <w:t xml:space="preserve">тет </w:t>
      </w:r>
      <w:r w:rsidR="00007DAA">
        <w:rPr>
          <w:lang w:val="uk-UA"/>
        </w:rPr>
        <w:t xml:space="preserve">з прав дитини, зауваження загального порядку </w:t>
      </w:r>
      <w:r w:rsidRPr="00007DAA">
        <w:rPr>
          <w:lang w:val="uk-UA"/>
        </w:rPr>
        <w:t>№ 9.</w:t>
      </w:r>
      <w:r>
        <w:rPr>
          <w:lang w:val="ru-RU"/>
        </w:rPr>
        <w:t xml:space="preserve"> </w:t>
      </w:r>
    </w:p>
  </w:footnote>
  <w:footnote w:id="26">
    <w:p w:rsidR="00543B43" w:rsidRPr="000F4FAF" w:rsidRDefault="00543B43" w:rsidP="00543B43">
      <w:pPr>
        <w:pStyle w:val="FootnoteText"/>
        <w:widowControl w:val="0"/>
        <w:tabs>
          <w:tab w:val="clear" w:pos="1021"/>
          <w:tab w:val="right" w:pos="1020"/>
        </w:tabs>
        <w:rPr>
          <w:lang w:val="ru-RU"/>
        </w:rPr>
      </w:pPr>
      <w:r>
        <w:rPr>
          <w:lang w:val="ru-RU"/>
        </w:rPr>
        <w:tab/>
      </w:r>
      <w:r w:rsidRPr="007A2B82">
        <w:rPr>
          <w:rStyle w:val="FootnoteReference"/>
          <w:lang w:val="ru-RU"/>
        </w:rPr>
        <w:footnoteRef/>
      </w:r>
      <w:r>
        <w:rPr>
          <w:lang w:val="ru-RU"/>
        </w:rPr>
        <w:tab/>
      </w:r>
      <w:r>
        <w:rPr>
          <w:lang w:val="uk-UA"/>
        </w:rPr>
        <w:t>Див. зауваження загального порядку № 15 (2013) про право дитини на користування найбільш досконалими послугами системи охорони здоров’я</w:t>
      </w:r>
      <w:r w:rsidRPr="00543B43">
        <w:rPr>
          <w:lang w:val="uk-UA"/>
        </w:rPr>
        <w:t>, пункт 38.</w:t>
      </w:r>
    </w:p>
  </w:footnote>
  <w:footnote w:id="27">
    <w:p w:rsidR="00650A8C" w:rsidRPr="000A5F62" w:rsidRDefault="00650A8C" w:rsidP="00A007F8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>
        <w:rPr>
          <w:lang w:val="ru-RU"/>
        </w:rPr>
        <w:tab/>
      </w:r>
      <w:r w:rsidRPr="000A5F62">
        <w:rPr>
          <w:rStyle w:val="FootnoteReference"/>
          <w:lang w:val="uk-UA"/>
        </w:rPr>
        <w:footnoteRef/>
      </w:r>
      <w:r w:rsidR="000A5F62">
        <w:rPr>
          <w:lang w:val="uk-UA"/>
        </w:rPr>
        <w:tab/>
      </w:r>
      <w:r w:rsidR="000A5F62">
        <w:rPr>
          <w:lang w:val="uk-UA"/>
        </w:rPr>
        <w:t xml:space="preserve">Див. </w:t>
      </w:r>
      <w:r w:rsidRPr="000A5F62">
        <w:rPr>
          <w:lang w:val="uk-UA"/>
        </w:rPr>
        <w:t>A/</w:t>
      </w:r>
      <w:proofErr w:type="spellStart"/>
      <w:r w:rsidRPr="000A5F62">
        <w:rPr>
          <w:lang w:val="uk-UA"/>
        </w:rPr>
        <w:t>HRC</w:t>
      </w:r>
      <w:proofErr w:type="spellEnd"/>
      <w:r w:rsidRPr="000A5F62">
        <w:rPr>
          <w:lang w:val="uk-UA"/>
        </w:rPr>
        <w:t>/32/32.</w:t>
      </w:r>
    </w:p>
  </w:footnote>
  <w:footnote w:id="28">
    <w:p w:rsidR="00290DE6" w:rsidRPr="000F4FAF" w:rsidRDefault="00290DE6" w:rsidP="00290DE6">
      <w:pPr>
        <w:pStyle w:val="FootnoteText"/>
        <w:widowControl w:val="0"/>
        <w:tabs>
          <w:tab w:val="clear" w:pos="1021"/>
          <w:tab w:val="right" w:pos="1020"/>
        </w:tabs>
        <w:rPr>
          <w:lang w:val="ru-RU"/>
        </w:rPr>
      </w:pPr>
      <w:r w:rsidRPr="000A5F62">
        <w:rPr>
          <w:lang w:val="uk-UA"/>
        </w:rPr>
        <w:tab/>
      </w:r>
      <w:r w:rsidRPr="000A5F62">
        <w:rPr>
          <w:rStyle w:val="FootnoteReference"/>
          <w:lang w:val="uk-UA"/>
        </w:rPr>
        <w:footnoteRef/>
      </w:r>
      <w:r>
        <w:rPr>
          <w:lang w:val="uk-UA"/>
        </w:rPr>
        <w:tab/>
      </w:r>
      <w:r>
        <w:rPr>
          <w:lang w:val="uk-UA"/>
        </w:rPr>
        <w:t xml:space="preserve">Див. зауваження загального порядку </w:t>
      </w:r>
      <w:r w:rsidRPr="000A5F62">
        <w:rPr>
          <w:lang w:val="uk-UA"/>
        </w:rPr>
        <w:t xml:space="preserve">№ 20 (2009) </w:t>
      </w:r>
      <w:r w:rsidRPr="000A5F62">
        <w:rPr>
          <w:lang w:val="uk-UA"/>
        </w:rPr>
        <w:t>Комітет</w:t>
      </w:r>
      <w:r>
        <w:rPr>
          <w:lang w:val="uk-UA"/>
        </w:rPr>
        <w:t>у з економічних, соціальних і культурних прав про недискримінацію щодо економічних, соціальних і культурних прав</w:t>
      </w:r>
      <w:r w:rsidRPr="000A5F62">
        <w:rPr>
          <w:lang w:val="uk-UA"/>
        </w:rPr>
        <w:t>, пункт 29.</w:t>
      </w:r>
    </w:p>
  </w:footnote>
  <w:footnote w:id="29">
    <w:p w:rsidR="00BE2C30" w:rsidRPr="000F4FAF" w:rsidRDefault="00BE2C30" w:rsidP="00BE2C30">
      <w:pPr>
        <w:pStyle w:val="FootnoteText"/>
        <w:widowControl w:val="0"/>
        <w:tabs>
          <w:tab w:val="clear" w:pos="1021"/>
          <w:tab w:val="right" w:pos="1020"/>
        </w:tabs>
        <w:rPr>
          <w:lang w:val="ru-RU"/>
        </w:rPr>
      </w:pPr>
      <w:r>
        <w:rPr>
          <w:lang w:val="ru-RU"/>
        </w:rPr>
        <w:tab/>
      </w:r>
      <w:r w:rsidRPr="007A2B82">
        <w:rPr>
          <w:rStyle w:val="FootnoteReference"/>
          <w:lang w:val="ru-RU"/>
        </w:rPr>
        <w:footnoteRef/>
      </w:r>
      <w:r>
        <w:rPr>
          <w:lang w:val="ru-RU"/>
        </w:rPr>
        <w:tab/>
        <w:t xml:space="preserve">Див. </w:t>
      </w:r>
      <w:hyperlink r:id="rId7" w:history="1">
        <w:r w:rsidRPr="00136AD4">
          <w:rPr>
            <w:rStyle w:val="Hyperlink"/>
            <w:color w:val="auto"/>
            <w:u w:val="none"/>
            <w:lang w:val="ru-RU"/>
          </w:rPr>
          <w:t>http://apps.who.int/iris/bitstream/10665/112750/1/WHO_FWC_MCA_14.05_</w:t>
        </w:r>
        <w:r>
          <w:rPr>
            <w:rStyle w:val="Hyperlink"/>
            <w:color w:val="auto"/>
            <w:u w:val="none"/>
            <w:lang w:val="ru-RU"/>
          </w:rPr>
          <w:t xml:space="preserve"> </w:t>
        </w:r>
        <w:proofErr w:type="spellStart"/>
        <w:r w:rsidRPr="00136AD4">
          <w:rPr>
            <w:rStyle w:val="Hyperlink"/>
            <w:color w:val="auto"/>
            <w:u w:val="none"/>
            <w:lang w:val="ru-RU"/>
          </w:rPr>
          <w:t>eng.pdf?ua</w:t>
        </w:r>
        <w:proofErr w:type="spellEnd"/>
        <w:r w:rsidRPr="00136AD4">
          <w:rPr>
            <w:rStyle w:val="Hyperlink"/>
            <w:color w:val="auto"/>
            <w:u w:val="none"/>
            <w:lang w:val="ru-RU"/>
          </w:rPr>
          <w:t>=1</w:t>
        </w:r>
      </w:hyperlink>
      <w:r>
        <w:rPr>
          <w:lang w:val="ru-RU"/>
        </w:rPr>
        <w:t>, p. 3.</w:t>
      </w:r>
    </w:p>
  </w:footnote>
  <w:footnote w:id="30">
    <w:p w:rsidR="00D04681" w:rsidRPr="00F7462D" w:rsidRDefault="00D04681" w:rsidP="00D04681">
      <w:pPr>
        <w:pStyle w:val="FootnoteText"/>
        <w:widowControl w:val="0"/>
        <w:tabs>
          <w:tab w:val="clear" w:pos="1021"/>
          <w:tab w:val="right" w:pos="1020"/>
        </w:tabs>
        <w:rPr>
          <w:lang w:val="en-US"/>
        </w:rPr>
      </w:pPr>
      <w:r>
        <w:rPr>
          <w:lang w:val="ru-RU"/>
        </w:rPr>
        <w:tab/>
      </w:r>
      <w:r w:rsidRPr="007A2B82">
        <w:rPr>
          <w:rStyle w:val="FootnoteReference"/>
          <w:lang w:val="ru-RU"/>
        </w:rPr>
        <w:footnoteRef/>
      </w:r>
      <w:r w:rsidRPr="00F7462D">
        <w:rPr>
          <w:lang w:val="en-US"/>
        </w:rPr>
        <w:tab/>
      </w:r>
      <w:r>
        <w:rPr>
          <w:lang w:val="ru-RU"/>
        </w:rPr>
        <w:t xml:space="preserve">Див. </w:t>
      </w:r>
      <w:r w:rsidRPr="00F725B6">
        <w:rPr>
          <w:lang w:val="en-US"/>
        </w:rPr>
        <w:t>A</w:t>
      </w:r>
      <w:r w:rsidRPr="00F7462D">
        <w:rPr>
          <w:lang w:val="en-US"/>
        </w:rPr>
        <w:t>/</w:t>
      </w:r>
      <w:proofErr w:type="spellStart"/>
      <w:r w:rsidRPr="00F725B6">
        <w:rPr>
          <w:lang w:val="en-US"/>
        </w:rPr>
        <w:t>HRC</w:t>
      </w:r>
      <w:proofErr w:type="spellEnd"/>
      <w:r w:rsidRPr="00F7462D">
        <w:rPr>
          <w:lang w:val="en-US"/>
        </w:rPr>
        <w:t>/32/32.</w:t>
      </w:r>
    </w:p>
  </w:footnote>
  <w:footnote w:id="31">
    <w:p w:rsidR="00A96631" w:rsidRPr="00F7462D" w:rsidRDefault="00A96631" w:rsidP="00A96631">
      <w:pPr>
        <w:pStyle w:val="FootnoteText"/>
        <w:widowControl w:val="0"/>
        <w:tabs>
          <w:tab w:val="clear" w:pos="1021"/>
          <w:tab w:val="right" w:pos="1020"/>
        </w:tabs>
        <w:rPr>
          <w:lang w:val="en-US"/>
        </w:rPr>
      </w:pPr>
      <w:r w:rsidRPr="00F7462D">
        <w:rPr>
          <w:lang w:val="en-US"/>
        </w:rPr>
        <w:tab/>
      </w:r>
      <w:r w:rsidRPr="007A2B82">
        <w:rPr>
          <w:rStyle w:val="FootnoteReference"/>
          <w:lang w:val="ru-RU"/>
        </w:rPr>
        <w:footnoteRef/>
      </w:r>
      <w:r w:rsidRPr="00F7462D">
        <w:rPr>
          <w:lang w:val="en-US"/>
        </w:rPr>
        <w:tab/>
      </w:r>
      <w:r>
        <w:rPr>
          <w:lang w:val="ru-RU"/>
        </w:rPr>
        <w:t>Див</w:t>
      </w:r>
      <w:r w:rsidRPr="00F7462D">
        <w:rPr>
          <w:lang w:val="en-US"/>
        </w:rPr>
        <w:t>. www.unicef.org/adolescence/files/SOWC_2011_Main_Report_EN_02092011.pdf.</w:t>
      </w:r>
    </w:p>
  </w:footnote>
  <w:footnote w:id="32">
    <w:p w:rsidR="00E35ABA" w:rsidRPr="00E35ABA" w:rsidRDefault="00E35ABA" w:rsidP="00E35ABA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 w:rsidRPr="00F7462D">
        <w:rPr>
          <w:lang w:val="en-US"/>
        </w:rPr>
        <w:tab/>
      </w:r>
      <w:r w:rsidRPr="007A2B82">
        <w:rPr>
          <w:rStyle w:val="FootnoteReference"/>
          <w:lang w:val="ru-RU"/>
        </w:rPr>
        <w:footnoteRef/>
      </w:r>
      <w:r>
        <w:rPr>
          <w:lang w:val="ru-RU"/>
        </w:rPr>
        <w:tab/>
      </w:r>
      <w:r>
        <w:rPr>
          <w:lang w:val="uk-UA"/>
        </w:rPr>
        <w:t xml:space="preserve">Див. </w:t>
      </w:r>
      <w:r w:rsidRPr="00E35ABA">
        <w:rPr>
          <w:lang w:val="uk-UA"/>
        </w:rPr>
        <w:t>Ком</w:t>
      </w:r>
      <w:r>
        <w:rPr>
          <w:lang w:val="uk-UA"/>
        </w:rPr>
        <w:t xml:space="preserve">ітет з прав дитини, зауваження загального порядку </w:t>
      </w:r>
      <w:r w:rsidRPr="00E35ABA">
        <w:rPr>
          <w:lang w:val="uk-UA"/>
        </w:rPr>
        <w:t xml:space="preserve">№ 1 (2001) </w:t>
      </w:r>
      <w:r>
        <w:rPr>
          <w:lang w:val="uk-UA"/>
        </w:rPr>
        <w:t>про цілі освіти</w:t>
      </w:r>
      <w:r w:rsidRPr="00E35ABA">
        <w:rPr>
          <w:lang w:val="uk-UA"/>
        </w:rPr>
        <w:t>, пункт 2.</w:t>
      </w:r>
    </w:p>
  </w:footnote>
  <w:footnote w:id="33">
    <w:p w:rsidR="00E35ABA" w:rsidRPr="00E35ABA" w:rsidRDefault="00E35ABA" w:rsidP="00E35ABA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>
        <w:rPr>
          <w:lang w:val="ru-RU"/>
        </w:rPr>
        <w:tab/>
      </w:r>
      <w:r w:rsidRPr="007A2B82">
        <w:rPr>
          <w:rStyle w:val="FootnoteReference"/>
          <w:lang w:val="ru-RU"/>
        </w:rPr>
        <w:footnoteRef/>
      </w:r>
      <w:r>
        <w:rPr>
          <w:lang w:val="ru-RU"/>
        </w:rPr>
        <w:tab/>
      </w:r>
      <w:r w:rsidRPr="00E35ABA">
        <w:rPr>
          <w:lang w:val="uk-UA"/>
        </w:rPr>
        <w:t>Ц</w:t>
      </w:r>
      <w:r>
        <w:rPr>
          <w:lang w:val="uk-UA"/>
        </w:rPr>
        <w:t xml:space="preserve">ільовий показник </w:t>
      </w:r>
      <w:r w:rsidRPr="00E35ABA">
        <w:rPr>
          <w:lang w:val="uk-UA"/>
        </w:rPr>
        <w:t>8.6 Ц</w:t>
      </w:r>
      <w:r>
        <w:rPr>
          <w:lang w:val="uk-UA"/>
        </w:rPr>
        <w:t xml:space="preserve">ілей сталого розвитку стосується «молоді» (підлітків віком від 15 до 24 років). Див. резолюцію </w:t>
      </w:r>
      <w:r w:rsidRPr="00E35ABA">
        <w:rPr>
          <w:lang w:val="uk-UA"/>
        </w:rPr>
        <w:t>70/1 Генерально</w:t>
      </w:r>
      <w:r>
        <w:rPr>
          <w:lang w:val="uk-UA"/>
        </w:rPr>
        <w:t>ї Асамблеї</w:t>
      </w:r>
      <w:r w:rsidRPr="00E35ABA">
        <w:rPr>
          <w:lang w:val="uk-UA"/>
        </w:rPr>
        <w:t xml:space="preserve">. </w:t>
      </w:r>
    </w:p>
  </w:footnote>
  <w:footnote w:id="34">
    <w:p w:rsidR="00E35ABA" w:rsidRPr="00E35ABA" w:rsidRDefault="00E35ABA" w:rsidP="00E35ABA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 w:rsidRPr="00E35ABA">
        <w:rPr>
          <w:lang w:val="uk-UA"/>
        </w:rPr>
        <w:tab/>
      </w:r>
      <w:r w:rsidRPr="00E35ABA">
        <w:rPr>
          <w:rStyle w:val="FootnoteReference"/>
          <w:lang w:val="uk-UA"/>
        </w:rPr>
        <w:footnoteRef/>
      </w:r>
      <w:r>
        <w:rPr>
          <w:lang w:val="uk-UA"/>
        </w:rPr>
        <w:tab/>
      </w:r>
      <w:r>
        <w:rPr>
          <w:lang w:val="uk-UA"/>
        </w:rPr>
        <w:t>Термін «навички 21-го століття» охоплює широкий набір знань, навичок, професійних звичок та рис характеру, що на думку освітян, реформаторів шкільної системи, викладачів вузів, роботодавців та інших, мають визначальне значення для досягнення успіху в сучасному світі</w:t>
      </w:r>
      <w:r w:rsidRPr="00E35ABA">
        <w:rPr>
          <w:lang w:val="uk-UA"/>
        </w:rPr>
        <w:t xml:space="preserve">, </w:t>
      </w:r>
      <w:r>
        <w:rPr>
          <w:lang w:val="uk-UA"/>
        </w:rPr>
        <w:t>особливо в університетських програмах і сучасних професіях, а також на робочому місці</w:t>
      </w:r>
      <w:r w:rsidRPr="00E35ABA">
        <w:rPr>
          <w:lang w:val="uk-UA"/>
        </w:rPr>
        <w:t>.</w:t>
      </w:r>
    </w:p>
  </w:footnote>
  <w:footnote w:id="35">
    <w:p w:rsidR="00525C07" w:rsidRPr="003C02FC" w:rsidRDefault="00525C07" w:rsidP="00525C07">
      <w:pPr>
        <w:pStyle w:val="FootnoteText"/>
        <w:widowControl w:val="0"/>
        <w:tabs>
          <w:tab w:val="clear" w:pos="1021"/>
          <w:tab w:val="right" w:pos="1020"/>
        </w:tabs>
        <w:rPr>
          <w:sz w:val="16"/>
          <w:szCs w:val="16"/>
          <w:lang w:val="ru-RU"/>
        </w:rPr>
      </w:pPr>
      <w:r w:rsidRPr="00E35ABA">
        <w:rPr>
          <w:lang w:val="uk-UA"/>
        </w:rPr>
        <w:tab/>
      </w:r>
      <w:r w:rsidRPr="00E35ABA">
        <w:rPr>
          <w:rStyle w:val="FootnoteReference"/>
          <w:lang w:val="uk-UA"/>
        </w:rPr>
        <w:footnoteRef/>
      </w:r>
      <w:r w:rsidRPr="00E35ABA">
        <w:rPr>
          <w:lang w:val="uk-UA"/>
        </w:rPr>
        <w:tab/>
      </w:r>
      <w:r>
        <w:rPr>
          <w:lang w:val="uk-UA"/>
        </w:rPr>
        <w:t>Див</w:t>
      </w:r>
      <w:r w:rsidRPr="00E35ABA">
        <w:rPr>
          <w:lang w:val="uk-UA"/>
        </w:rPr>
        <w:t>. www.ohchr.org/Documents/HRBodies/CRC/Discussions/2012/</w:t>
      </w:r>
      <w:r w:rsidRPr="00E35ABA">
        <w:rPr>
          <w:lang w:val="uk-UA"/>
        </w:rPr>
        <w:br/>
        <w:t>DGD2012ReportAndRecommendations.pdf.</w:t>
      </w:r>
    </w:p>
  </w:footnote>
  <w:footnote w:id="36">
    <w:p w:rsidR="00525C07" w:rsidRPr="00525C07" w:rsidRDefault="00525C07" w:rsidP="00525C07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 w:rsidRPr="003C02FC">
        <w:rPr>
          <w:lang w:val="ru-RU"/>
        </w:rPr>
        <w:tab/>
      </w:r>
      <w:r w:rsidRPr="007A2B82">
        <w:rPr>
          <w:rStyle w:val="FootnoteReference"/>
          <w:lang w:val="ru-RU"/>
        </w:rPr>
        <w:footnoteRef/>
      </w:r>
      <w:r w:rsidRPr="00314BF1">
        <w:rPr>
          <w:lang w:val="en-US"/>
        </w:rPr>
        <w:tab/>
      </w:r>
      <w:r>
        <w:rPr>
          <w:lang w:val="ru-RU"/>
        </w:rPr>
        <w:t>Див</w:t>
      </w:r>
      <w:r w:rsidRPr="00314BF1">
        <w:rPr>
          <w:lang w:val="en-US"/>
        </w:rPr>
        <w:t xml:space="preserve">. Fundamental Rights Agency, “Apprehension of migrants in an irregular situation – fundamental rights considerations”, 9 October 2012. </w:t>
      </w:r>
      <w:r w:rsidRPr="00525C07">
        <w:rPr>
          <w:lang w:val="uk-UA"/>
        </w:rPr>
        <w:t>Доступн</w:t>
      </w:r>
      <w:r w:rsidRPr="00525C07">
        <w:rPr>
          <w:lang w:val="uk-UA"/>
        </w:rPr>
        <w:t>е за посиланням</w:t>
      </w:r>
      <w:r w:rsidRPr="00F058DC">
        <w:rPr>
          <w:lang w:val="en-US"/>
        </w:rPr>
        <w:t xml:space="preserve"> </w:t>
      </w:r>
      <w:hyperlink r:id="rId8" w:history="1">
        <w:r w:rsidRPr="00525C07">
          <w:rPr>
            <w:rStyle w:val="Hyperlink"/>
            <w:color w:val="auto"/>
            <w:u w:val="none"/>
            <w:lang w:val="uk-UA"/>
          </w:rPr>
          <w:t>https://fra.europa.eu/ sites/default/files/fra-2013-apprehension-migrants-irregular-situation_en.pdf</w:t>
        </w:r>
      </w:hyperlink>
      <w:r w:rsidRPr="00525C07">
        <w:rPr>
          <w:lang w:val="uk-UA"/>
        </w:rPr>
        <w:t xml:space="preserve">. </w:t>
      </w:r>
    </w:p>
  </w:footnote>
  <w:footnote w:id="37">
    <w:p w:rsidR="00650A8C" w:rsidRPr="00525C07" w:rsidRDefault="00650A8C" w:rsidP="00A007F8">
      <w:pPr>
        <w:pStyle w:val="FootnoteText"/>
        <w:widowControl w:val="0"/>
        <w:tabs>
          <w:tab w:val="clear" w:pos="1021"/>
          <w:tab w:val="right" w:pos="1020"/>
        </w:tabs>
        <w:rPr>
          <w:lang w:val="uk-UA"/>
        </w:rPr>
      </w:pPr>
      <w:r w:rsidRPr="00525C07">
        <w:rPr>
          <w:lang w:val="uk-UA"/>
        </w:rPr>
        <w:tab/>
      </w:r>
      <w:r w:rsidRPr="00525C07">
        <w:rPr>
          <w:rStyle w:val="FootnoteReference"/>
          <w:lang w:val="uk-UA"/>
        </w:rPr>
        <w:footnoteRef/>
      </w:r>
      <w:r w:rsidRPr="00525C07">
        <w:rPr>
          <w:lang w:val="uk-UA"/>
        </w:rPr>
        <w:tab/>
      </w:r>
      <w:r w:rsidR="00525C07" w:rsidRPr="00525C07">
        <w:rPr>
          <w:lang w:val="uk-UA"/>
        </w:rPr>
        <w:t>Див</w:t>
      </w:r>
      <w:r w:rsidRPr="00525C07">
        <w:rPr>
          <w:lang w:val="uk-UA"/>
        </w:rPr>
        <w:t xml:space="preserve">. </w:t>
      </w:r>
      <w:r w:rsidRPr="00525C07">
        <w:rPr>
          <w:bCs/>
          <w:lang w:val="uk-UA"/>
        </w:rPr>
        <w:t>www.ohchr.org/Documents/HRBodies/CRC/Discussions/2014/DGD_report.pdf</w:t>
      </w:r>
      <w:r w:rsidRPr="00525C07">
        <w:rPr>
          <w:lang w:val="uk-UA"/>
        </w:rPr>
        <w:t>.</w:t>
      </w:r>
    </w:p>
  </w:footnote>
  <w:footnote w:id="38">
    <w:p w:rsidR="00D763C7" w:rsidRPr="000F4FAF" w:rsidRDefault="00D763C7" w:rsidP="00D763C7">
      <w:pPr>
        <w:pStyle w:val="FootnoteText"/>
        <w:widowControl w:val="0"/>
        <w:tabs>
          <w:tab w:val="clear" w:pos="1021"/>
          <w:tab w:val="right" w:pos="1020"/>
        </w:tabs>
        <w:rPr>
          <w:lang w:val="ru-RU"/>
        </w:rPr>
      </w:pPr>
      <w:r w:rsidRPr="00525C07">
        <w:rPr>
          <w:lang w:val="uk-UA"/>
        </w:rPr>
        <w:tab/>
      </w:r>
      <w:r w:rsidRPr="00525C07">
        <w:rPr>
          <w:rStyle w:val="FootnoteReference"/>
          <w:lang w:val="uk-UA"/>
        </w:rPr>
        <w:footnoteRef/>
      </w:r>
      <w:r w:rsidRPr="00525C07">
        <w:rPr>
          <w:lang w:val="uk-UA"/>
        </w:rPr>
        <w:tab/>
      </w:r>
      <w:r w:rsidRPr="00525C07">
        <w:rPr>
          <w:lang w:val="uk-UA"/>
        </w:rPr>
        <w:t>Див. за</w:t>
      </w:r>
      <w:r>
        <w:rPr>
          <w:lang w:val="uk-UA"/>
        </w:rPr>
        <w:t xml:space="preserve">уваження загального порядку </w:t>
      </w:r>
      <w:r w:rsidRPr="00525C07">
        <w:rPr>
          <w:lang w:val="uk-UA"/>
        </w:rPr>
        <w:t xml:space="preserve">№ 6 (2005) </w:t>
      </w:r>
      <w:r>
        <w:rPr>
          <w:lang w:val="uk-UA"/>
        </w:rPr>
        <w:t>про поводження з дітьми без супроводу і розлученими дітьми за межами країни їхнього походження</w:t>
      </w:r>
      <w:r w:rsidRPr="00525C07">
        <w:rPr>
          <w:lang w:val="uk-UA"/>
        </w:rPr>
        <w:t>.</w:t>
      </w:r>
    </w:p>
  </w:footnote>
  <w:footnote w:id="39">
    <w:p w:rsidR="00AA7ED9" w:rsidRPr="003C78BC" w:rsidRDefault="00AA7ED9" w:rsidP="00AA7ED9">
      <w:pPr>
        <w:pStyle w:val="FootnoteText"/>
        <w:widowControl w:val="0"/>
        <w:tabs>
          <w:tab w:val="clear" w:pos="1021"/>
          <w:tab w:val="right" w:pos="1020"/>
        </w:tabs>
      </w:pPr>
      <w:r>
        <w:rPr>
          <w:lang w:val="ru-RU"/>
        </w:rPr>
        <w:tab/>
      </w:r>
      <w:r w:rsidRPr="007A2B82">
        <w:rPr>
          <w:rStyle w:val="FootnoteReference"/>
          <w:lang w:val="ru-RU"/>
        </w:rPr>
        <w:footnoteRef/>
      </w:r>
      <w:r>
        <w:rPr>
          <w:lang w:val="ru-RU"/>
        </w:rPr>
        <w:tab/>
      </w:r>
      <w:r>
        <w:rPr>
          <w:lang w:val="uk-UA"/>
        </w:rPr>
        <w:t>Див. A/68/267, пункти</w:t>
      </w:r>
      <w:r w:rsidRPr="00AA7ED9">
        <w:rPr>
          <w:lang w:val="uk-UA"/>
        </w:rPr>
        <w:t xml:space="preserve"> 81–87.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8C" w:rsidRPr="005E0092" w:rsidRDefault="00650A8C">
    <w:pPr>
      <w:pStyle w:val="Header"/>
      <w:rPr>
        <w:lang w:val="en-US"/>
      </w:rPr>
    </w:pPr>
    <w:r>
      <w:rPr>
        <w:lang w:val="en-US"/>
      </w:rPr>
      <w:t>CRC/</w:t>
    </w:r>
    <w:r w:rsidRPr="00B54776">
      <w:rPr>
        <w:lang w:val="en-US"/>
      </w:rPr>
      <w:t>C/GC/20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8C" w:rsidRPr="009A6F4A" w:rsidRDefault="00650A8C">
    <w:pPr>
      <w:pStyle w:val="Header"/>
      <w:rPr>
        <w:lang w:val="en-US"/>
      </w:rPr>
    </w:pPr>
    <w:r>
      <w:rPr>
        <w:lang w:val="en-US"/>
      </w:rPr>
      <w:tab/>
      <w:t>CRC/</w:t>
    </w:r>
    <w:r w:rsidRPr="00B54776">
      <w:rPr>
        <w:lang w:val="en-US"/>
      </w:rPr>
      <w:t>C/GC/20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49F8"/>
    <w:multiLevelType w:val="hybridMultilevel"/>
    <w:tmpl w:val="FFD08D26"/>
    <w:lvl w:ilvl="0" w:tplc="2FB4762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D65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E253887"/>
    <w:multiLevelType w:val="hybridMultilevel"/>
    <w:tmpl w:val="497EC7CC"/>
    <w:lvl w:ilvl="0" w:tplc="FAE4B376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12325"/>
    <w:multiLevelType w:val="hybridMultilevel"/>
    <w:tmpl w:val="FF0E5B48"/>
    <w:lvl w:ilvl="0" w:tplc="6D5E22D8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C6CF5"/>
    <w:multiLevelType w:val="hybridMultilevel"/>
    <w:tmpl w:val="93FCAD22"/>
    <w:lvl w:ilvl="0" w:tplc="F73C6636">
      <w:start w:val="1"/>
      <w:numFmt w:val="bullet"/>
      <w:pStyle w:val="Bullet2GR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90228"/>
    <w:multiLevelType w:val="hybridMultilevel"/>
    <w:tmpl w:val="E5464F8E"/>
    <w:lvl w:ilvl="0" w:tplc="FD0C5992">
      <w:start w:val="1"/>
      <w:numFmt w:val="decimal"/>
      <w:pStyle w:val="ParaNoGR"/>
      <w:lvlText w:val="%1."/>
      <w:lvlJc w:val="left"/>
      <w:pPr>
        <w:tabs>
          <w:tab w:val="num" w:pos="1491"/>
        </w:tabs>
        <w:ind w:left="11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4123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5BF12F8"/>
    <w:multiLevelType w:val="hybridMultilevel"/>
    <w:tmpl w:val="43A6C61A"/>
    <w:lvl w:ilvl="0" w:tplc="A652453E">
      <w:start w:val="1"/>
      <w:numFmt w:val="bullet"/>
      <w:pStyle w:val="Bullet1GR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03AB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attachedTemplate r:id="rId1"/>
  <w:documentProtection w:edit="forms" w:enforcement="0"/>
  <w:defaultTabStop w:val="567"/>
  <w:autoHyphenation/>
  <w:hyphenationZone w:val="357"/>
  <w:doNotHyphenateCaps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7F8"/>
    <w:rsid w:val="00007DAA"/>
    <w:rsid w:val="000450D1"/>
    <w:rsid w:val="00050452"/>
    <w:rsid w:val="00054D9F"/>
    <w:rsid w:val="00056BDC"/>
    <w:rsid w:val="0009110F"/>
    <w:rsid w:val="00093DF4"/>
    <w:rsid w:val="000A5F62"/>
    <w:rsid w:val="000A6171"/>
    <w:rsid w:val="000E1432"/>
    <w:rsid w:val="000E2E6E"/>
    <w:rsid w:val="000F2A4F"/>
    <w:rsid w:val="001027DA"/>
    <w:rsid w:val="0013393B"/>
    <w:rsid w:val="00136AD4"/>
    <w:rsid w:val="00150957"/>
    <w:rsid w:val="001B38B2"/>
    <w:rsid w:val="001E6A65"/>
    <w:rsid w:val="00202681"/>
    <w:rsid w:val="00203F84"/>
    <w:rsid w:val="00246CF6"/>
    <w:rsid w:val="002722D7"/>
    <w:rsid w:val="00275188"/>
    <w:rsid w:val="0028687D"/>
    <w:rsid w:val="00290DE6"/>
    <w:rsid w:val="002A5478"/>
    <w:rsid w:val="002B091C"/>
    <w:rsid w:val="002B4F97"/>
    <w:rsid w:val="002C7427"/>
    <w:rsid w:val="002D0CCB"/>
    <w:rsid w:val="002F48E6"/>
    <w:rsid w:val="0033774B"/>
    <w:rsid w:val="00345C79"/>
    <w:rsid w:val="00366A39"/>
    <w:rsid w:val="003A4962"/>
    <w:rsid w:val="003B2942"/>
    <w:rsid w:val="003B4AA7"/>
    <w:rsid w:val="003C02FC"/>
    <w:rsid w:val="003F64DB"/>
    <w:rsid w:val="00430557"/>
    <w:rsid w:val="0045776C"/>
    <w:rsid w:val="0048005C"/>
    <w:rsid w:val="004922E1"/>
    <w:rsid w:val="004D017F"/>
    <w:rsid w:val="004E242B"/>
    <w:rsid w:val="004E300D"/>
    <w:rsid w:val="004F2AAE"/>
    <w:rsid w:val="004F7E42"/>
    <w:rsid w:val="0051279B"/>
    <w:rsid w:val="00525C07"/>
    <w:rsid w:val="0053536F"/>
    <w:rsid w:val="00543B43"/>
    <w:rsid w:val="00544379"/>
    <w:rsid w:val="00554021"/>
    <w:rsid w:val="00566944"/>
    <w:rsid w:val="005A12CD"/>
    <w:rsid w:val="005D56BF"/>
    <w:rsid w:val="005F4DA4"/>
    <w:rsid w:val="00641F48"/>
    <w:rsid w:val="00650A8C"/>
    <w:rsid w:val="00665D8D"/>
    <w:rsid w:val="0067613A"/>
    <w:rsid w:val="006A7A3B"/>
    <w:rsid w:val="006B6B57"/>
    <w:rsid w:val="006D7B52"/>
    <w:rsid w:val="00705394"/>
    <w:rsid w:val="00712731"/>
    <w:rsid w:val="007219E5"/>
    <w:rsid w:val="00743F62"/>
    <w:rsid w:val="00760D3A"/>
    <w:rsid w:val="0078373B"/>
    <w:rsid w:val="007A1F42"/>
    <w:rsid w:val="007A2B82"/>
    <w:rsid w:val="007C0606"/>
    <w:rsid w:val="007D76DD"/>
    <w:rsid w:val="007E01CA"/>
    <w:rsid w:val="008717E8"/>
    <w:rsid w:val="00881B62"/>
    <w:rsid w:val="008A079F"/>
    <w:rsid w:val="008A689B"/>
    <w:rsid w:val="008D01AE"/>
    <w:rsid w:val="008E0423"/>
    <w:rsid w:val="008E526B"/>
    <w:rsid w:val="009141DC"/>
    <w:rsid w:val="009174A1"/>
    <w:rsid w:val="0092009E"/>
    <w:rsid w:val="00923B7D"/>
    <w:rsid w:val="00931987"/>
    <w:rsid w:val="009402A5"/>
    <w:rsid w:val="00960BC4"/>
    <w:rsid w:val="009737BF"/>
    <w:rsid w:val="0098674D"/>
    <w:rsid w:val="00997ACA"/>
    <w:rsid w:val="009B439F"/>
    <w:rsid w:val="009C765C"/>
    <w:rsid w:val="00A007F8"/>
    <w:rsid w:val="00A03FB7"/>
    <w:rsid w:val="00A75A11"/>
    <w:rsid w:val="00A95CFF"/>
    <w:rsid w:val="00A96631"/>
    <w:rsid w:val="00AA7ED9"/>
    <w:rsid w:val="00AD7EAD"/>
    <w:rsid w:val="00AE652D"/>
    <w:rsid w:val="00AF5ACE"/>
    <w:rsid w:val="00B02D95"/>
    <w:rsid w:val="00B35A32"/>
    <w:rsid w:val="00B432C6"/>
    <w:rsid w:val="00B471C5"/>
    <w:rsid w:val="00B54776"/>
    <w:rsid w:val="00B6474A"/>
    <w:rsid w:val="00B93EE0"/>
    <w:rsid w:val="00B96930"/>
    <w:rsid w:val="00BC0BFE"/>
    <w:rsid w:val="00BE1742"/>
    <w:rsid w:val="00BE2C30"/>
    <w:rsid w:val="00C07AB2"/>
    <w:rsid w:val="00C1037F"/>
    <w:rsid w:val="00C35AD9"/>
    <w:rsid w:val="00C4067E"/>
    <w:rsid w:val="00C46FC3"/>
    <w:rsid w:val="00C473D7"/>
    <w:rsid w:val="00C65FD5"/>
    <w:rsid w:val="00CA1B79"/>
    <w:rsid w:val="00CB0578"/>
    <w:rsid w:val="00CC1708"/>
    <w:rsid w:val="00CD1631"/>
    <w:rsid w:val="00CD5340"/>
    <w:rsid w:val="00CE2E0D"/>
    <w:rsid w:val="00CF7341"/>
    <w:rsid w:val="00D04681"/>
    <w:rsid w:val="00D1261C"/>
    <w:rsid w:val="00D230F7"/>
    <w:rsid w:val="00D35F5A"/>
    <w:rsid w:val="00D75DCE"/>
    <w:rsid w:val="00D763C7"/>
    <w:rsid w:val="00DA35F8"/>
    <w:rsid w:val="00DD35AC"/>
    <w:rsid w:val="00DD479F"/>
    <w:rsid w:val="00DD4E82"/>
    <w:rsid w:val="00DD7546"/>
    <w:rsid w:val="00E100AB"/>
    <w:rsid w:val="00E15E48"/>
    <w:rsid w:val="00E35ABA"/>
    <w:rsid w:val="00E605AC"/>
    <w:rsid w:val="00E66BB2"/>
    <w:rsid w:val="00EA1470"/>
    <w:rsid w:val="00EB0723"/>
    <w:rsid w:val="00EE6F37"/>
    <w:rsid w:val="00EF14E8"/>
    <w:rsid w:val="00F058DC"/>
    <w:rsid w:val="00F1599F"/>
    <w:rsid w:val="00F16D07"/>
    <w:rsid w:val="00F31EF2"/>
    <w:rsid w:val="00F40BEE"/>
    <w:rsid w:val="00F7462D"/>
    <w:rsid w:val="00FB168B"/>
    <w:rsid w:val="00FC5583"/>
    <w:rsid w:val="00FD26BC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B6D19"/>
  <w15:docId w15:val="{2D257F8F-29BB-0246-A16A-076A7F77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AA7"/>
    <w:pPr>
      <w:spacing w:line="240" w:lineRule="atLeast"/>
    </w:pPr>
    <w:rPr>
      <w:rFonts w:ascii="Times New Roman" w:eastAsia="Times New Roman" w:hAnsi="Times New Roman" w:cs="Times New Roman"/>
      <w:spacing w:val="4"/>
      <w:w w:val="103"/>
      <w:kern w:val="14"/>
      <w:sz w:val="20"/>
      <w:szCs w:val="20"/>
    </w:rPr>
  </w:style>
  <w:style w:type="paragraph" w:styleId="Heading1">
    <w:name w:val="heading 1"/>
    <w:aliases w:val="Table_GR,Table_G"/>
    <w:basedOn w:val="Normal"/>
    <w:next w:val="Normal"/>
    <w:link w:val="Heading1Char"/>
    <w:qFormat/>
    <w:rsid w:val="00BE1742"/>
    <w:pPr>
      <w:keepNext/>
      <w:tabs>
        <w:tab w:val="left" w:pos="567"/>
      </w:tabs>
      <w:jc w:val="both"/>
      <w:outlineLvl w:val="0"/>
    </w:pPr>
    <w:rPr>
      <w:rFonts w:cs="Arial"/>
      <w:b/>
      <w:bCs/>
      <w:szCs w:val="32"/>
      <w:lang w:eastAsia="ru-RU"/>
    </w:rPr>
  </w:style>
  <w:style w:type="paragraph" w:styleId="Heading2">
    <w:name w:val="heading 2"/>
    <w:basedOn w:val="Normal"/>
    <w:next w:val="Normal"/>
    <w:link w:val="Heading2Char"/>
    <w:semiHidden/>
    <w:rsid w:val="00A007F8"/>
    <w:pPr>
      <w:suppressAutoHyphens/>
      <w:spacing w:line="240" w:lineRule="auto"/>
      <w:outlineLvl w:val="1"/>
    </w:pPr>
    <w:rPr>
      <w:rFonts w:eastAsia="SimSun"/>
      <w:spacing w:val="0"/>
      <w:w w:val="100"/>
      <w:kern w:val="0"/>
      <w:lang w:val="en-GB" w:eastAsia="zh-CN"/>
    </w:rPr>
  </w:style>
  <w:style w:type="paragraph" w:styleId="Heading3">
    <w:name w:val="heading 3"/>
    <w:basedOn w:val="Normal"/>
    <w:next w:val="Normal"/>
    <w:link w:val="Heading3Char"/>
    <w:semiHidden/>
    <w:rsid w:val="00A007F8"/>
    <w:pPr>
      <w:suppressAutoHyphens/>
      <w:spacing w:line="240" w:lineRule="auto"/>
      <w:outlineLvl w:val="2"/>
    </w:pPr>
    <w:rPr>
      <w:rFonts w:eastAsia="SimSun"/>
      <w:spacing w:val="0"/>
      <w:w w:val="100"/>
      <w:kern w:val="0"/>
      <w:lang w:val="en-GB" w:eastAsia="zh-CN"/>
    </w:rPr>
  </w:style>
  <w:style w:type="paragraph" w:styleId="Heading4">
    <w:name w:val="heading 4"/>
    <w:basedOn w:val="Normal"/>
    <w:next w:val="Normal"/>
    <w:link w:val="Heading4Char"/>
    <w:semiHidden/>
    <w:rsid w:val="00A007F8"/>
    <w:pPr>
      <w:suppressAutoHyphens/>
      <w:spacing w:line="240" w:lineRule="auto"/>
      <w:outlineLvl w:val="3"/>
    </w:pPr>
    <w:rPr>
      <w:rFonts w:eastAsia="SimSun"/>
      <w:spacing w:val="0"/>
      <w:w w:val="100"/>
      <w:kern w:val="0"/>
      <w:lang w:val="en-GB" w:eastAsia="zh-CN"/>
    </w:rPr>
  </w:style>
  <w:style w:type="paragraph" w:styleId="Heading5">
    <w:name w:val="heading 5"/>
    <w:basedOn w:val="Normal"/>
    <w:next w:val="Normal"/>
    <w:link w:val="Heading5Char"/>
    <w:semiHidden/>
    <w:rsid w:val="00A007F8"/>
    <w:pPr>
      <w:suppressAutoHyphens/>
      <w:spacing w:line="240" w:lineRule="auto"/>
      <w:outlineLvl w:val="4"/>
    </w:pPr>
    <w:rPr>
      <w:rFonts w:eastAsia="SimSun"/>
      <w:spacing w:val="0"/>
      <w:w w:val="100"/>
      <w:kern w:val="0"/>
      <w:lang w:val="en-GB" w:eastAsia="zh-CN"/>
    </w:rPr>
  </w:style>
  <w:style w:type="paragraph" w:styleId="Heading6">
    <w:name w:val="heading 6"/>
    <w:basedOn w:val="Normal"/>
    <w:next w:val="Normal"/>
    <w:link w:val="Heading6Char"/>
    <w:semiHidden/>
    <w:rsid w:val="00A007F8"/>
    <w:pPr>
      <w:suppressAutoHyphens/>
      <w:spacing w:line="240" w:lineRule="auto"/>
      <w:outlineLvl w:val="5"/>
    </w:pPr>
    <w:rPr>
      <w:rFonts w:eastAsia="SimSun"/>
      <w:spacing w:val="0"/>
      <w:w w:val="100"/>
      <w:kern w:val="0"/>
      <w:lang w:val="en-GB" w:eastAsia="zh-CN"/>
    </w:rPr>
  </w:style>
  <w:style w:type="paragraph" w:styleId="Heading7">
    <w:name w:val="heading 7"/>
    <w:basedOn w:val="Normal"/>
    <w:next w:val="Normal"/>
    <w:link w:val="Heading7Char"/>
    <w:semiHidden/>
    <w:rsid w:val="00A007F8"/>
    <w:pPr>
      <w:suppressAutoHyphens/>
      <w:spacing w:line="240" w:lineRule="auto"/>
      <w:outlineLvl w:val="6"/>
    </w:pPr>
    <w:rPr>
      <w:rFonts w:eastAsia="SimSun"/>
      <w:spacing w:val="0"/>
      <w:w w:val="100"/>
      <w:kern w:val="0"/>
      <w:lang w:val="en-GB" w:eastAsia="zh-CN"/>
    </w:rPr>
  </w:style>
  <w:style w:type="paragraph" w:styleId="Heading8">
    <w:name w:val="heading 8"/>
    <w:basedOn w:val="Normal"/>
    <w:next w:val="Normal"/>
    <w:link w:val="Heading8Char"/>
    <w:semiHidden/>
    <w:rsid w:val="00A007F8"/>
    <w:pPr>
      <w:suppressAutoHyphens/>
      <w:spacing w:line="240" w:lineRule="auto"/>
      <w:outlineLvl w:val="7"/>
    </w:pPr>
    <w:rPr>
      <w:rFonts w:eastAsia="SimSun"/>
      <w:spacing w:val="0"/>
      <w:w w:val="100"/>
      <w:kern w:val="0"/>
      <w:lang w:val="en-GB" w:eastAsia="zh-CN"/>
    </w:rPr>
  </w:style>
  <w:style w:type="paragraph" w:styleId="Heading9">
    <w:name w:val="heading 9"/>
    <w:basedOn w:val="Normal"/>
    <w:next w:val="Normal"/>
    <w:link w:val="Heading9Char"/>
    <w:semiHidden/>
    <w:rsid w:val="00A007F8"/>
    <w:pPr>
      <w:suppressAutoHyphens/>
      <w:spacing w:line="240" w:lineRule="auto"/>
      <w:outlineLvl w:val="8"/>
    </w:pPr>
    <w:rPr>
      <w:rFonts w:eastAsia="SimSun"/>
      <w:spacing w:val="0"/>
      <w:w w:val="100"/>
      <w:kern w:val="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R">
    <w:name w:val="_ H __M_GR"/>
    <w:basedOn w:val="Normal"/>
    <w:next w:val="Normal"/>
    <w:qFormat/>
    <w:rsid w:val="00BE1742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z w:val="34"/>
      <w:lang w:eastAsia="ru-RU"/>
    </w:rPr>
  </w:style>
  <w:style w:type="paragraph" w:customStyle="1" w:styleId="HChGR">
    <w:name w:val="_ H _Ch_GR"/>
    <w:basedOn w:val="Normal"/>
    <w:next w:val="Normal"/>
    <w:qFormat/>
    <w:rsid w:val="00BE1742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lang w:eastAsia="ru-RU"/>
    </w:rPr>
  </w:style>
  <w:style w:type="paragraph" w:customStyle="1" w:styleId="H1GR">
    <w:name w:val="_ H_1_GR"/>
    <w:basedOn w:val="Normal"/>
    <w:next w:val="Normal"/>
    <w:qFormat/>
    <w:rsid w:val="00BE1742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ru-RU"/>
    </w:rPr>
  </w:style>
  <w:style w:type="paragraph" w:customStyle="1" w:styleId="H23GR">
    <w:name w:val="_ H_2/3_GR"/>
    <w:basedOn w:val="Normal"/>
    <w:next w:val="Normal"/>
    <w:qFormat/>
    <w:rsid w:val="00BE1742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lang w:eastAsia="ru-RU"/>
    </w:rPr>
  </w:style>
  <w:style w:type="paragraph" w:customStyle="1" w:styleId="H4GR">
    <w:name w:val="_ H_4_GR"/>
    <w:basedOn w:val="Normal"/>
    <w:next w:val="Normal"/>
    <w:qFormat/>
    <w:rsid w:val="00BE1742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3"/>
    </w:pPr>
    <w:rPr>
      <w:i/>
      <w:spacing w:val="3"/>
      <w:lang w:eastAsia="ru-RU"/>
    </w:rPr>
  </w:style>
  <w:style w:type="paragraph" w:customStyle="1" w:styleId="H56GR">
    <w:name w:val="_ H_5/6_GR"/>
    <w:basedOn w:val="Normal"/>
    <w:next w:val="Normal"/>
    <w:qFormat/>
    <w:rsid w:val="00BE1742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lang w:eastAsia="ru-RU"/>
    </w:rPr>
  </w:style>
  <w:style w:type="paragraph" w:customStyle="1" w:styleId="SingleTxtGR">
    <w:name w:val="_ Single Txt_GR"/>
    <w:basedOn w:val="Normal"/>
    <w:qFormat/>
    <w:rsid w:val="005D56BF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/>
      <w:ind w:left="1134" w:right="1134"/>
      <w:jc w:val="both"/>
    </w:pPr>
  </w:style>
  <w:style w:type="paragraph" w:customStyle="1" w:styleId="SLGR">
    <w:name w:val="__S_L_GR"/>
    <w:basedOn w:val="Normal"/>
    <w:next w:val="Normal"/>
    <w:qFormat/>
    <w:rsid w:val="00BE1742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lang w:eastAsia="ru-RU"/>
    </w:rPr>
  </w:style>
  <w:style w:type="paragraph" w:customStyle="1" w:styleId="SMGR">
    <w:name w:val="__S_M_GR"/>
    <w:basedOn w:val="Normal"/>
    <w:next w:val="Normal"/>
    <w:qFormat/>
    <w:rsid w:val="00BE1742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SSGR">
    <w:name w:val="__S_S_GR"/>
    <w:basedOn w:val="Normal"/>
    <w:next w:val="Normal"/>
    <w:qFormat/>
    <w:rsid w:val="00BE1742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lang w:eastAsia="ru-RU"/>
    </w:rPr>
  </w:style>
  <w:style w:type="paragraph" w:customStyle="1" w:styleId="XLargeGR">
    <w:name w:val="__XLarge_GR"/>
    <w:basedOn w:val="Normal"/>
    <w:next w:val="Normal"/>
    <w:qFormat/>
    <w:rsid w:val="00BE1742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Bullet1GR">
    <w:name w:val="_Bullet 1_GR"/>
    <w:basedOn w:val="Normal"/>
    <w:qFormat/>
    <w:rsid w:val="00BE1742"/>
    <w:pPr>
      <w:numPr>
        <w:numId w:val="1"/>
      </w:numPr>
      <w:spacing w:after="120"/>
      <w:ind w:right="1134"/>
      <w:jc w:val="both"/>
    </w:pPr>
    <w:rPr>
      <w:lang w:eastAsia="ru-RU"/>
    </w:rPr>
  </w:style>
  <w:style w:type="paragraph" w:customStyle="1" w:styleId="Bullet2GR">
    <w:name w:val="_Bullet 2_GR"/>
    <w:basedOn w:val="Normal"/>
    <w:qFormat/>
    <w:rsid w:val="00BE1742"/>
    <w:pPr>
      <w:numPr>
        <w:numId w:val="2"/>
      </w:numPr>
      <w:spacing w:after="120"/>
      <w:ind w:right="1134"/>
      <w:jc w:val="both"/>
    </w:pPr>
    <w:rPr>
      <w:lang w:eastAsia="ru-RU"/>
    </w:rPr>
  </w:style>
  <w:style w:type="paragraph" w:customStyle="1" w:styleId="ParaNoGR">
    <w:name w:val="_ParaNo._GR"/>
    <w:basedOn w:val="Normal"/>
    <w:next w:val="Normal"/>
    <w:qFormat/>
    <w:rsid w:val="00BE1742"/>
    <w:pPr>
      <w:numPr>
        <w:numId w:val="3"/>
      </w:numPr>
      <w:tabs>
        <w:tab w:val="left" w:pos="567"/>
      </w:tabs>
      <w:spacing w:after="120"/>
      <w:ind w:right="1134"/>
      <w:jc w:val="both"/>
      <w:outlineLvl w:val="0"/>
    </w:pPr>
    <w:rPr>
      <w:lang w:eastAsia="ru-RU"/>
    </w:rPr>
  </w:style>
  <w:style w:type="table" w:customStyle="1" w:styleId="TabNum">
    <w:name w:val="_TabNum"/>
    <w:basedOn w:val="TableNormal"/>
    <w:rsid w:val="00BE1742"/>
    <w:pPr>
      <w:spacing w:before="40" w:after="40" w:line="220" w:lineRule="exact"/>
      <w:jc w:val="right"/>
    </w:pPr>
    <w:rPr>
      <w:rFonts w:ascii="Times New Roman" w:eastAsia="Times New Roman" w:hAnsi="Times New Roman" w:cs="Times New Roman"/>
      <w:sz w:val="18"/>
      <w:szCs w:val="20"/>
      <w:lang w:eastAsia="ru-RU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TableNormal"/>
    <w:rsid w:val="00BE1742"/>
    <w:pPr>
      <w:spacing w:before="40" w:after="12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aliases w:val="6_GR,6_G"/>
    <w:basedOn w:val="Normal"/>
    <w:next w:val="Normal"/>
    <w:link w:val="HeaderChar"/>
    <w:qFormat/>
    <w:rsid w:val="00BE1742"/>
    <w:pPr>
      <w:pBdr>
        <w:bottom w:val="single" w:sz="4" w:space="4" w:color="auto"/>
      </w:pBdr>
      <w:tabs>
        <w:tab w:val="right" w:pos="9639"/>
      </w:tabs>
      <w:suppressAutoHyphens/>
    </w:pPr>
    <w:rPr>
      <w:b/>
      <w:sz w:val="18"/>
      <w:lang w:val="en-GB" w:eastAsia="ru-RU"/>
    </w:rPr>
  </w:style>
  <w:style w:type="character" w:customStyle="1" w:styleId="HeaderChar">
    <w:name w:val="Header Char"/>
    <w:aliases w:val="6_GR Char,6_G Char"/>
    <w:basedOn w:val="DefaultParagraphFont"/>
    <w:link w:val="Header"/>
    <w:rsid w:val="00BE1742"/>
    <w:rPr>
      <w:rFonts w:ascii="Times New Roman" w:eastAsia="Times New Roman" w:hAnsi="Times New Roman" w:cs="Times New Roman"/>
      <w:b/>
      <w:sz w:val="18"/>
      <w:szCs w:val="20"/>
      <w:lang w:val="en-GB" w:eastAsia="ru-RU"/>
    </w:rPr>
  </w:style>
  <w:style w:type="character" w:customStyle="1" w:styleId="Heading1Char">
    <w:name w:val="Heading 1 Char"/>
    <w:aliases w:val="Table_GR Char,Table_G Char"/>
    <w:basedOn w:val="DefaultParagraphFont"/>
    <w:link w:val="Heading1"/>
    <w:rsid w:val="00BE1742"/>
    <w:rPr>
      <w:rFonts w:ascii="Times New Roman" w:eastAsia="Times New Roman" w:hAnsi="Times New Roman" w:cs="Arial"/>
      <w:b/>
      <w:bCs/>
      <w:spacing w:val="4"/>
      <w:w w:val="103"/>
      <w:kern w:val="14"/>
      <w:sz w:val="20"/>
      <w:szCs w:val="32"/>
      <w:lang w:eastAsia="ru-RU"/>
    </w:rPr>
  </w:style>
  <w:style w:type="character" w:styleId="EndnoteReference">
    <w:name w:val="endnote reference"/>
    <w:aliases w:val="1_GR,1_G"/>
    <w:basedOn w:val="FootnoteReference"/>
    <w:qFormat/>
    <w:rsid w:val="00BE1742"/>
    <w:rPr>
      <w:rFonts w:ascii="Times New Roman" w:hAnsi="Times New Roman"/>
      <w:dstrike w:val="0"/>
      <w:sz w:val="18"/>
      <w:vertAlign w:val="superscript"/>
    </w:rPr>
  </w:style>
  <w:style w:type="character" w:styleId="FootnoteReference">
    <w:name w:val="footnote reference"/>
    <w:aliases w:val="4_GR,4_G"/>
    <w:basedOn w:val="DefaultParagraphFont"/>
    <w:qFormat/>
    <w:rsid w:val="00BE1742"/>
    <w:rPr>
      <w:rFonts w:ascii="Times New Roman" w:hAnsi="Times New Roman"/>
      <w:dstrike w:val="0"/>
      <w:sz w:val="18"/>
      <w:vertAlign w:val="superscript"/>
    </w:rPr>
  </w:style>
  <w:style w:type="paragraph" w:styleId="Footer">
    <w:name w:val="footer"/>
    <w:aliases w:val="3_GR,3_G"/>
    <w:basedOn w:val="Normal"/>
    <w:link w:val="FooterChar"/>
    <w:qFormat/>
    <w:rsid w:val="00BE1742"/>
    <w:pPr>
      <w:tabs>
        <w:tab w:val="right" w:pos="9639"/>
      </w:tabs>
      <w:suppressAutoHyphens/>
    </w:pPr>
    <w:rPr>
      <w:sz w:val="16"/>
      <w:lang w:val="en-GB" w:eastAsia="ru-RU"/>
    </w:rPr>
  </w:style>
  <w:style w:type="character" w:customStyle="1" w:styleId="FooterChar">
    <w:name w:val="Footer Char"/>
    <w:aliases w:val="3_GR Char,3_G Char"/>
    <w:basedOn w:val="DefaultParagraphFont"/>
    <w:link w:val="Footer"/>
    <w:rsid w:val="00BE1742"/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character" w:styleId="PageNumber">
    <w:name w:val="page number"/>
    <w:aliases w:val="7_GR,7_G"/>
    <w:basedOn w:val="DefaultParagraphFont"/>
    <w:qFormat/>
    <w:rsid w:val="00BE1742"/>
    <w:rPr>
      <w:rFonts w:ascii="Times New Roman" w:hAnsi="Times New Roman"/>
      <w:b/>
      <w:sz w:val="18"/>
    </w:rPr>
  </w:style>
  <w:style w:type="paragraph" w:styleId="FootnoteText">
    <w:name w:val="footnote text"/>
    <w:aliases w:val="5_GR,5_G"/>
    <w:basedOn w:val="Normal"/>
    <w:link w:val="FootnoteTextChar"/>
    <w:qFormat/>
    <w:rsid w:val="00BE1742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5"/>
      <w:w w:val="104"/>
      <w:sz w:val="18"/>
      <w:lang w:val="en-GB" w:eastAsia="ru-RU"/>
    </w:rPr>
  </w:style>
  <w:style w:type="character" w:customStyle="1" w:styleId="FootnoteTextChar">
    <w:name w:val="Footnote Text Char"/>
    <w:aliases w:val="5_GR Char,5_G Char"/>
    <w:basedOn w:val="DefaultParagraphFont"/>
    <w:link w:val="FootnoteText"/>
    <w:rsid w:val="00BE1742"/>
    <w:rPr>
      <w:rFonts w:ascii="Times New Roman" w:eastAsia="Times New Roman" w:hAnsi="Times New Roman" w:cs="Times New Roman"/>
      <w:spacing w:val="5"/>
      <w:w w:val="104"/>
      <w:kern w:val="14"/>
      <w:sz w:val="18"/>
      <w:szCs w:val="20"/>
      <w:lang w:val="en-GB" w:eastAsia="ru-RU"/>
    </w:rPr>
  </w:style>
  <w:style w:type="paragraph" w:styleId="EndnoteText">
    <w:name w:val="endnote text"/>
    <w:aliases w:val="2_GR,2_G"/>
    <w:basedOn w:val="FootnoteText"/>
    <w:link w:val="EndnoteTextChar"/>
    <w:uiPriority w:val="99"/>
    <w:qFormat/>
    <w:rsid w:val="00BE1742"/>
  </w:style>
  <w:style w:type="character" w:customStyle="1" w:styleId="EndnoteTextChar">
    <w:name w:val="Endnote Text Char"/>
    <w:aliases w:val="2_GR Char,2_G Char"/>
    <w:basedOn w:val="DefaultParagraphFont"/>
    <w:link w:val="EndnoteText"/>
    <w:uiPriority w:val="99"/>
    <w:rsid w:val="00BE1742"/>
    <w:rPr>
      <w:rFonts w:ascii="Times New Roman" w:eastAsia="Times New Roman" w:hAnsi="Times New Roman" w:cs="Times New Roman"/>
      <w:spacing w:val="5"/>
      <w:w w:val="104"/>
      <w:kern w:val="14"/>
      <w:sz w:val="18"/>
      <w:szCs w:val="20"/>
      <w:lang w:val="en-GB" w:eastAsia="ru-RU"/>
    </w:rPr>
  </w:style>
  <w:style w:type="table" w:styleId="TableGrid">
    <w:name w:val="Table Grid"/>
    <w:basedOn w:val="TableNormal"/>
    <w:rsid w:val="007A1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A007F8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semiHidden/>
    <w:rsid w:val="00A007F8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semiHidden/>
    <w:rsid w:val="00A007F8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semiHidden/>
    <w:rsid w:val="00A007F8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Heading6Char">
    <w:name w:val="Heading 6 Char"/>
    <w:basedOn w:val="DefaultParagraphFont"/>
    <w:link w:val="Heading6"/>
    <w:semiHidden/>
    <w:rsid w:val="00A007F8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semiHidden/>
    <w:rsid w:val="00A007F8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semiHidden/>
    <w:rsid w:val="00A007F8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semiHidden/>
    <w:rsid w:val="00A007F8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HMG">
    <w:name w:val="_ H __M_G"/>
    <w:basedOn w:val="Normal"/>
    <w:next w:val="Normal"/>
    <w:rsid w:val="00A007F8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pacing w:val="0"/>
      <w:w w:val="100"/>
      <w:kern w:val="0"/>
      <w:sz w:val="34"/>
      <w:lang w:val="en-GB"/>
    </w:rPr>
  </w:style>
  <w:style w:type="paragraph" w:customStyle="1" w:styleId="HChG">
    <w:name w:val="_ H _Ch_G"/>
    <w:basedOn w:val="Normal"/>
    <w:next w:val="Normal"/>
    <w:rsid w:val="00A007F8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pacing w:val="0"/>
      <w:w w:val="100"/>
      <w:kern w:val="0"/>
      <w:sz w:val="28"/>
      <w:lang w:val="en-GB"/>
    </w:rPr>
  </w:style>
  <w:style w:type="paragraph" w:customStyle="1" w:styleId="H1G">
    <w:name w:val="_ H_1_G"/>
    <w:basedOn w:val="Normal"/>
    <w:next w:val="Normal"/>
    <w:rsid w:val="00A007F8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pacing w:val="0"/>
      <w:w w:val="100"/>
      <w:kern w:val="0"/>
      <w:sz w:val="24"/>
      <w:lang w:val="en-GB"/>
    </w:rPr>
  </w:style>
  <w:style w:type="paragraph" w:customStyle="1" w:styleId="H23G">
    <w:name w:val="_ H_2/3_G"/>
    <w:basedOn w:val="Normal"/>
    <w:next w:val="Normal"/>
    <w:rsid w:val="00A007F8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spacing w:val="0"/>
      <w:w w:val="100"/>
      <w:kern w:val="0"/>
      <w:lang w:val="en-GB"/>
    </w:rPr>
  </w:style>
  <w:style w:type="paragraph" w:customStyle="1" w:styleId="H4G">
    <w:name w:val="_ H_4_G"/>
    <w:basedOn w:val="Normal"/>
    <w:next w:val="Normal"/>
    <w:rsid w:val="00A007F8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i/>
      <w:spacing w:val="0"/>
      <w:w w:val="100"/>
      <w:kern w:val="0"/>
      <w:lang w:val="en-GB"/>
    </w:rPr>
  </w:style>
  <w:style w:type="paragraph" w:customStyle="1" w:styleId="H56G">
    <w:name w:val="_ H_5/6_G"/>
    <w:basedOn w:val="Normal"/>
    <w:next w:val="Normal"/>
    <w:rsid w:val="00A007F8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spacing w:val="0"/>
      <w:w w:val="100"/>
      <w:kern w:val="0"/>
      <w:lang w:val="en-GB"/>
    </w:rPr>
  </w:style>
  <w:style w:type="paragraph" w:customStyle="1" w:styleId="SingleTxtG">
    <w:name w:val="_ Single Txt_G"/>
    <w:basedOn w:val="Normal"/>
    <w:rsid w:val="00A007F8"/>
    <w:pPr>
      <w:suppressAutoHyphens/>
      <w:spacing w:after="120"/>
      <w:ind w:left="1134" w:right="1134"/>
      <w:jc w:val="both"/>
    </w:pPr>
    <w:rPr>
      <w:rFonts w:eastAsia="SimSun"/>
      <w:spacing w:val="0"/>
      <w:w w:val="100"/>
      <w:kern w:val="0"/>
      <w:lang w:val="en-GB" w:eastAsia="zh-CN"/>
    </w:rPr>
  </w:style>
  <w:style w:type="paragraph" w:customStyle="1" w:styleId="SLG">
    <w:name w:val="__S_L_G"/>
    <w:basedOn w:val="Normal"/>
    <w:next w:val="Normal"/>
    <w:rsid w:val="00A007F8"/>
    <w:pPr>
      <w:keepNext/>
      <w:keepLines/>
      <w:suppressAutoHyphens/>
      <w:spacing w:before="240" w:after="240" w:line="580" w:lineRule="exact"/>
      <w:ind w:left="1134" w:right="1134"/>
    </w:pPr>
    <w:rPr>
      <w:b/>
      <w:spacing w:val="0"/>
      <w:w w:val="100"/>
      <w:kern w:val="0"/>
      <w:sz w:val="56"/>
      <w:lang w:val="en-GB"/>
    </w:rPr>
  </w:style>
  <w:style w:type="paragraph" w:customStyle="1" w:styleId="SMG">
    <w:name w:val="__S_M_G"/>
    <w:basedOn w:val="Normal"/>
    <w:next w:val="Normal"/>
    <w:rsid w:val="00A007F8"/>
    <w:pPr>
      <w:keepNext/>
      <w:keepLines/>
      <w:suppressAutoHyphens/>
      <w:spacing w:before="240" w:after="240" w:line="420" w:lineRule="exact"/>
      <w:ind w:left="1134" w:right="1134"/>
    </w:pPr>
    <w:rPr>
      <w:b/>
      <w:spacing w:val="0"/>
      <w:w w:val="100"/>
      <w:kern w:val="0"/>
      <w:sz w:val="40"/>
      <w:lang w:val="en-GB"/>
    </w:rPr>
  </w:style>
  <w:style w:type="paragraph" w:customStyle="1" w:styleId="SSG">
    <w:name w:val="__S_S_G"/>
    <w:basedOn w:val="Normal"/>
    <w:next w:val="Normal"/>
    <w:rsid w:val="00A007F8"/>
    <w:pPr>
      <w:keepNext/>
      <w:keepLines/>
      <w:suppressAutoHyphens/>
      <w:spacing w:before="240" w:after="240" w:line="300" w:lineRule="exact"/>
      <w:ind w:left="1134" w:right="1134"/>
    </w:pPr>
    <w:rPr>
      <w:b/>
      <w:spacing w:val="0"/>
      <w:w w:val="100"/>
      <w:kern w:val="0"/>
      <w:sz w:val="28"/>
      <w:lang w:val="en-GB"/>
    </w:rPr>
  </w:style>
  <w:style w:type="paragraph" w:customStyle="1" w:styleId="XLargeG">
    <w:name w:val="__XLarge_G"/>
    <w:basedOn w:val="Normal"/>
    <w:next w:val="Normal"/>
    <w:rsid w:val="00A007F8"/>
    <w:pPr>
      <w:keepNext/>
      <w:keepLines/>
      <w:suppressAutoHyphens/>
      <w:spacing w:before="240" w:after="240" w:line="420" w:lineRule="exact"/>
      <w:ind w:left="1134" w:right="1134"/>
    </w:pPr>
    <w:rPr>
      <w:rFonts w:eastAsia="SimSun"/>
      <w:b/>
      <w:spacing w:val="0"/>
      <w:w w:val="100"/>
      <w:kern w:val="0"/>
      <w:sz w:val="40"/>
      <w:lang w:val="en-GB" w:eastAsia="zh-CN"/>
    </w:rPr>
  </w:style>
  <w:style w:type="paragraph" w:customStyle="1" w:styleId="Bullet1G">
    <w:name w:val="_Bullet 1_G"/>
    <w:basedOn w:val="Normal"/>
    <w:rsid w:val="00A007F8"/>
    <w:pPr>
      <w:numPr>
        <w:numId w:val="4"/>
      </w:numPr>
      <w:suppressAutoHyphens/>
      <w:spacing w:after="120"/>
      <w:ind w:right="1134"/>
      <w:jc w:val="both"/>
    </w:pPr>
    <w:rPr>
      <w:spacing w:val="0"/>
      <w:w w:val="100"/>
      <w:kern w:val="0"/>
      <w:lang w:val="en-GB"/>
    </w:rPr>
  </w:style>
  <w:style w:type="paragraph" w:customStyle="1" w:styleId="Bullet2G">
    <w:name w:val="_Bullet 2_G"/>
    <w:basedOn w:val="Normal"/>
    <w:rsid w:val="00A007F8"/>
    <w:pPr>
      <w:numPr>
        <w:numId w:val="5"/>
      </w:numPr>
      <w:suppressAutoHyphens/>
      <w:spacing w:after="120"/>
      <w:ind w:right="1134"/>
      <w:jc w:val="both"/>
    </w:pPr>
    <w:rPr>
      <w:spacing w:val="0"/>
      <w:w w:val="100"/>
      <w:kern w:val="0"/>
      <w:lang w:val="en-GB"/>
    </w:rPr>
  </w:style>
  <w:style w:type="paragraph" w:customStyle="1" w:styleId="ParaNoG">
    <w:name w:val="_ParaNo._G"/>
    <w:basedOn w:val="SingleTxtG"/>
    <w:rsid w:val="00A007F8"/>
    <w:pPr>
      <w:numPr>
        <w:numId w:val="6"/>
      </w:numPr>
    </w:pPr>
  </w:style>
  <w:style w:type="numbering" w:styleId="111111">
    <w:name w:val="Outline List 2"/>
    <w:basedOn w:val="NoList"/>
    <w:semiHidden/>
    <w:rsid w:val="00A007F8"/>
    <w:pPr>
      <w:numPr>
        <w:numId w:val="8"/>
      </w:numPr>
    </w:pPr>
  </w:style>
  <w:style w:type="numbering" w:styleId="1ai">
    <w:name w:val="Outline List 1"/>
    <w:basedOn w:val="NoList"/>
    <w:semiHidden/>
    <w:rsid w:val="00A007F8"/>
    <w:pPr>
      <w:numPr>
        <w:numId w:val="9"/>
      </w:numPr>
    </w:pPr>
  </w:style>
  <w:style w:type="character" w:styleId="BookTitle">
    <w:name w:val="Book Title"/>
    <w:basedOn w:val="DefaultParagraphFont"/>
    <w:uiPriority w:val="33"/>
    <w:rsid w:val="00A007F8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7F8"/>
    <w:pPr>
      <w:suppressAutoHyphens/>
      <w:spacing w:line="240" w:lineRule="auto"/>
    </w:pPr>
    <w:rPr>
      <w:rFonts w:ascii="Tahoma" w:hAnsi="Tahoma" w:cs="Tahoma"/>
      <w:spacing w:val="0"/>
      <w:w w:val="100"/>
      <w:kern w:val="0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7F8"/>
    <w:rPr>
      <w:rFonts w:ascii="Tahoma" w:eastAsia="Times New Roman" w:hAnsi="Tahoma" w:cs="Tahoma"/>
      <w:sz w:val="16"/>
      <w:szCs w:val="1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007F8"/>
    <w:pPr>
      <w:suppressAutoHyphens/>
      <w:spacing w:after="100"/>
    </w:pPr>
    <w:rPr>
      <w:spacing w:val="0"/>
      <w:w w:val="100"/>
      <w:kern w:val="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A007F8"/>
    <w:pPr>
      <w:suppressAutoHyphens/>
      <w:spacing w:after="100"/>
      <w:ind w:left="200"/>
    </w:pPr>
    <w:rPr>
      <w:spacing w:val="0"/>
      <w:w w:val="100"/>
      <w:kern w:val="0"/>
      <w:lang w:val="en-GB"/>
    </w:rPr>
  </w:style>
  <w:style w:type="character" w:styleId="Hyperlink">
    <w:name w:val="Hyperlink"/>
    <w:basedOn w:val="DefaultParagraphFont"/>
    <w:uiPriority w:val="99"/>
    <w:unhideWhenUsed/>
    <w:rsid w:val="00A007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fra.europa.eu/sites/default/files/fra-2013-apprehension-migrants-irregular-situation_en.pdf" TargetMode="External"/><Relationship Id="rId3" Type="http://schemas.openxmlformats.org/officeDocument/2006/relationships/hyperlink" Target="http://www.ohchr.org/EN/NewsEvents/Pages/DisplayNews.aspx?News%20ID=15941&amp;LangID=E" TargetMode="External"/><Relationship Id="rId7" Type="http://schemas.openxmlformats.org/officeDocument/2006/relationships/hyperlink" Target="http://apps.who.int/iris/bitstream/10665/112750/1/WHO_FWC_MCA_14.05_eng.pdf?ua=1" TargetMode="External"/><Relationship Id="rId2" Type="http://schemas.openxmlformats.org/officeDocument/2006/relationships/hyperlink" Target="http://www2.ohchr.org/english/issues/women/rapporteur/docs/15YearReviewofVAWMandate.pdf" TargetMode="External"/><Relationship Id="rId1" Type="http://schemas.openxmlformats.org/officeDocument/2006/relationships/hyperlink" Target="http://www.who.int/maternal_child_adolescent/topics/adolescence/dev/en/" TargetMode="External"/><Relationship Id="rId6" Type="http://schemas.openxmlformats.org/officeDocument/2006/relationships/hyperlink" Target="http://www.ohchr.org/Documents/HRBodies/CRC/Discussions/2014/DGD_report.pdf" TargetMode="External"/><Relationship Id="rId5" Type="http://schemas.openxmlformats.org/officeDocument/2006/relationships/hyperlink" Target="http://www.ohchr.org/Documents/HRBodies/CRC/Discussions/Recommendations/Recommendations1996.pdf" TargetMode="External"/><Relationship Id="rId4" Type="http://schemas.openxmlformats.org/officeDocument/2006/relationships/hyperlink" Target="http://www.unicef.org/publications/files/Implementation_Handbook_for_the_Convention_on_the_Rights_of_the_Child_Part_1_of_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G:\WORD\OFFICE2010\Templates\CRC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5FE1-7205-644C-99C8-4DF5B5E9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G:\WORD\OFFICE2010\Templates\CRC.dotm</Template>
  <TotalTime>1041</TotalTime>
  <Pages>28</Pages>
  <Words>10264</Words>
  <Characters>67435</Characters>
  <Application>Microsoft Office Word</Application>
  <DocSecurity>0</DocSecurity>
  <Lines>1162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DCM</Company>
  <LinksUpToDate>false</LinksUpToDate>
  <CharactersWithSpaces>77488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Korotkova</dc:creator>
  <cp:lastModifiedBy>Serhiy Kokizyuk</cp:lastModifiedBy>
  <cp:revision>79</cp:revision>
  <cp:lastPrinted>2017-01-05T15:33:00Z</cp:lastPrinted>
  <dcterms:created xsi:type="dcterms:W3CDTF">2018-03-28T10:41:00Z</dcterms:created>
  <dcterms:modified xsi:type="dcterms:W3CDTF">2018-04-02T00:47:00Z</dcterms:modified>
</cp:coreProperties>
</file>